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南充市重点实验室评审指标体系</w:t>
      </w:r>
    </w:p>
    <w:p>
      <w:pPr>
        <w:spacing w:line="520" w:lineRule="exact"/>
        <w:jc w:val="center"/>
        <w:rPr>
          <w:rFonts w:eastAsia="黑体"/>
          <w:b/>
          <w:sz w:val="44"/>
          <w:szCs w:val="44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86"/>
        <w:gridCol w:w="5313"/>
        <w:gridCol w:w="1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一级指标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二级指标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评估要点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w w:val="95"/>
                <w:kern w:val="0"/>
                <w:sz w:val="24"/>
              </w:rPr>
              <w:t>分值权重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水平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与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创新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能力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研究方向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与目标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研究方向、发展目标及总体定位。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研究、创新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承担国家、省（部）、市以及其它各类科学研究项目和经费。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科技成果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代表性成果；论文、专著及影响力，科技成果及奖励，自主知识产权。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影响与贡献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对学科、领域科学发展的推动作用；科技成果应用转化及对外服务。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队伍建设与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人才培养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队伍建设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研究队伍力量，知识、年龄结构；实验室主任和学术带头人影响力；团队协作，学术环境。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人才培养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学科站点设置及增加情况；博士后、博士、硕士毕业或出站情况；吸收和培养优秀中青年人才情况。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实验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条件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实验设施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实验用房和办公用房情况。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仪器设备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仪器设备配置、改善情况及运行状况。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开放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交流与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运行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管理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对外开放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与交流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设置开放基金和课题、吸引国内外优秀科技人才开展客座研究、共享实验设施和科学仪器资源、积极开展科学普及活动、加强国内外合作与学术交流等。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管理制度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与运行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规章制度建设和运行管理；学术委员会建设；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组织管理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与保障</w:t>
            </w:r>
          </w:p>
        </w:tc>
        <w:tc>
          <w:tcPr>
            <w:tcW w:w="531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主管部门指导、监管；依托单位管理与条件保障。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4027"/>
    <w:rsid w:val="13874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2017-11-09T01:02:00Z</dcterms:created>
  <dc:creator>Administrator</dc:creator>
  <cp:lastModifiedBy>Administrator</cp:lastModifiedBy>
  <dcterms:modified xsi:type="dcterms:W3CDTF">2017-11-09T01:03:11Z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