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spacing w:line="1300" w:lineRule="exact"/>
        <w:jc w:val="both"/>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南充市2023年人力资源市场工资价位和</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行业人工成本信息</w:t>
      </w:r>
    </w:p>
    <w:p>
      <w:pPr>
        <w:pStyle w:val="4"/>
        <w:keepNext w:val="0"/>
        <w:keepLines w:val="0"/>
        <w:pageBreakBefore w:val="0"/>
        <w:widowControl w:val="0"/>
        <w:kinsoku/>
        <w:wordWrap/>
        <w:overflowPunct/>
        <w:topLinePunct w:val="0"/>
        <w:autoSpaceDE/>
        <w:autoSpaceDN/>
        <w:bidi w:val="0"/>
        <w:spacing w:before="0" w:after="0" w:line="560" w:lineRule="exact"/>
        <w:ind w:left="0" w:right="0"/>
        <w:jc w:val="center"/>
        <w:textAlignment w:val="auto"/>
        <w:rPr>
          <w:rFonts w:hint="default" w:ascii="Times New Roman" w:hAnsi="Times New Roman" w:eastAsia="方正楷体_GBK" w:cs="Times New Roman"/>
          <w:b/>
          <w:bCs w:val="0"/>
          <w:sz w:val="32"/>
          <w:szCs w:val="20"/>
        </w:rPr>
      </w:pPr>
      <w:bookmarkStart w:id="0" w:name="_Toc107071272"/>
      <w:bookmarkStart w:id="1" w:name="_Toc57971006"/>
      <w:bookmarkStart w:id="2" w:name="_Toc106953502"/>
      <w:bookmarkStart w:id="3" w:name="_Toc107068039"/>
      <w:bookmarkStart w:id="4" w:name="_Toc55780331"/>
      <w:bookmarkStart w:id="5" w:name="_Toc88052816"/>
      <w:r>
        <w:rPr>
          <w:rFonts w:hint="default" w:ascii="Times New Roman" w:hAnsi="Times New Roman" w:eastAsia="方正楷体_GBK" w:cs="Times New Roman"/>
          <w:b/>
          <w:bCs w:val="0"/>
          <w:sz w:val="32"/>
          <w:szCs w:val="20"/>
        </w:rPr>
        <w:t>发布说明</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default" w:ascii="Times New Roman" w:hAnsi="Times New Roman" w:eastAsia="方正仿宋_GBK" w:cs="Times New Roman"/>
          <w:b/>
          <w:bCs/>
          <w:sz w:val="32"/>
          <w:lang w:eastAsia="zh-CN"/>
        </w:rPr>
      </w:pPr>
    </w:p>
    <w:p>
      <w:pPr>
        <w:keepNext w:val="0"/>
        <w:keepLines w:val="0"/>
        <w:pageBreakBefore w:val="0"/>
        <w:widowControl w:val="0"/>
        <w:kinsoku/>
        <w:wordWrap/>
        <w:overflowPunct/>
        <w:topLinePunct w:val="0"/>
        <w:autoSpaceDE/>
        <w:autoSpaceDN/>
        <w:bidi w:val="0"/>
        <w:spacing w:line="560" w:lineRule="exact"/>
        <w:ind w:left="0" w:right="0" w:firstLine="0" w:firstLineChars="0"/>
        <w:textAlignment w:val="auto"/>
        <w:rPr>
          <w:rFonts w:hint="default" w:ascii="Times New Roman" w:hAnsi="Times New Roman" w:eastAsia="方正仿宋_GBK" w:cs="Times New Roman"/>
          <w:b/>
          <w:bCs/>
          <w:sz w:val="32"/>
        </w:rPr>
      </w:pPr>
      <w:r>
        <w:rPr>
          <w:rFonts w:hint="default" w:ascii="Times New Roman" w:hAnsi="Times New Roman" w:eastAsia="方正仿宋_GBK" w:cs="Times New Roman"/>
          <w:b/>
          <w:bCs/>
          <w:sz w:val="32"/>
          <w:lang w:eastAsia="zh-CN"/>
        </w:rPr>
        <w:t>　　</w:t>
      </w:r>
      <w:r>
        <w:rPr>
          <w:rFonts w:hint="default" w:ascii="Times New Roman" w:hAnsi="Times New Roman" w:eastAsia="方正仿宋_GBK" w:cs="Times New Roman"/>
          <w:b/>
          <w:bCs/>
          <w:sz w:val="32"/>
        </w:rPr>
        <w:t>本信息是在企业薪酬调查的基础上形成的。该调查项目以地区、行业为分层依据，按照企业人数采用PPS抽样方法抽取企业样本，并对样本企业的全部职工进行调查，共调查全市18个行业门类的272户企业，涉及职工32282人。调查的时期指标为2023年1月1日至12月31日。</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_GBK" w:cs="Times New Roman"/>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_GBK" w:cs="Times New Roman"/>
          <w:b/>
          <w:bCs/>
          <w:sz w:val="36"/>
          <w:szCs w:val="36"/>
        </w:rPr>
      </w:pPr>
      <w:r>
        <w:rPr>
          <w:rFonts w:hint="default" w:ascii="Times New Roman" w:hAnsi="Times New Roman" w:eastAsia="方正小标宋_GBK" w:cs="Times New Roman"/>
          <w:b/>
          <w:bCs/>
          <w:sz w:val="36"/>
          <w:szCs w:val="36"/>
        </w:rPr>
        <w:t>第一部分 人力资源市场工资价位</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0" w:firstLineChars="0"/>
        <w:textAlignment w:val="auto"/>
        <w:rPr>
          <w:rFonts w:hint="default" w:ascii="Times New Roman" w:hAnsi="Times New Roman" w:eastAsia="方正黑体_GBK" w:cs="Times New Roman"/>
          <w:b/>
          <w:bCs w:val="0"/>
          <w:szCs w:val="32"/>
        </w:rPr>
      </w:pPr>
      <w:r>
        <w:rPr>
          <w:rFonts w:hint="default" w:ascii="Times New Roman" w:hAnsi="Times New Roman" w:eastAsia="方正黑体_GBK" w:cs="Times New Roman"/>
          <w:b/>
          <w:bCs w:val="0"/>
          <w:szCs w:val="32"/>
          <w:lang w:eastAsia="zh-CN"/>
        </w:rPr>
        <w:t>　　</w:t>
      </w:r>
      <w:r>
        <w:rPr>
          <w:rFonts w:hint="default" w:ascii="Times New Roman" w:hAnsi="Times New Roman" w:eastAsia="方正黑体_GBK" w:cs="Times New Roman"/>
          <w:b/>
          <w:bCs w:val="0"/>
          <w:szCs w:val="32"/>
        </w:rPr>
        <w:t>一、整体工资价位</w:t>
      </w:r>
    </w:p>
    <w:p>
      <w:pPr>
        <w:keepNext w:val="0"/>
        <w:keepLines w:val="0"/>
        <w:pageBreakBefore w:val="0"/>
        <w:widowControl w:val="0"/>
        <w:kinsoku/>
        <w:wordWrap/>
        <w:overflowPunct/>
        <w:topLinePunct w:val="0"/>
        <w:autoSpaceDE/>
        <w:autoSpaceDN/>
        <w:bidi w:val="0"/>
        <w:spacing w:line="560" w:lineRule="exact"/>
        <w:ind w:left="0" w:right="0"/>
        <w:textAlignment w:val="auto"/>
        <w:rPr>
          <w:rFonts w:hint="default" w:ascii="Times New Roman" w:hAnsi="Times New Roman" w:eastAsia="方正楷体_GBK" w:cs="Times New Roman"/>
          <w:b/>
          <w:bCs/>
          <w:sz w:val="32"/>
          <w:szCs w:val="32"/>
        </w:rPr>
      </w:pPr>
      <w:r>
        <w:rPr>
          <w:rFonts w:hint="default" w:ascii="Times New Roman" w:hAnsi="Times New Roman" w:eastAsia="方正黑体_GBK" w:cs="Times New Roman"/>
          <w:b/>
          <w:bCs w:val="0"/>
          <w:szCs w:val="32"/>
          <w:lang w:eastAsia="zh-CN"/>
        </w:rPr>
        <w:t>　　</w:t>
      </w:r>
      <w:r>
        <w:rPr>
          <w:rFonts w:hint="default" w:ascii="Times New Roman" w:hAnsi="Times New Roman" w:eastAsia="方正楷体_GBK" w:cs="Times New Roman"/>
          <w:b/>
          <w:bCs/>
          <w:sz w:val="32"/>
          <w:szCs w:val="32"/>
        </w:rPr>
        <w:t>（一）分行业的工资价位（2023年）</w:t>
      </w:r>
    </w:p>
    <w:p>
      <w:pPr>
        <w:keepNext w:val="0"/>
        <w:keepLines w:val="0"/>
        <w:pageBreakBefore w:val="0"/>
        <w:widowControl w:val="0"/>
        <w:kinsoku/>
        <w:wordWrap/>
        <w:overflowPunct/>
        <w:topLinePunct w:val="0"/>
        <w:autoSpaceDE/>
        <w:autoSpaceDN/>
        <w:bidi w:val="0"/>
        <w:spacing w:line="560" w:lineRule="exact"/>
        <w:ind w:left="0" w:right="0"/>
        <w:jc w:val="left"/>
        <w:textAlignment w:val="auto"/>
        <w:rPr>
          <w:rFonts w:hint="default" w:ascii="Times New Roman" w:hAnsi="Times New Roman" w:cs="Times New Roman"/>
        </w:rPr>
      </w:pPr>
      <w:r>
        <w:rPr>
          <w:rFonts w:hint="default" w:ascii="Times New Roman" w:hAnsi="Times New Roman" w:eastAsia="方正仿宋_GBK" w:cs="Times New Roman"/>
          <w:b/>
          <w:bCs/>
          <w:sz w:val="28"/>
          <w:szCs w:val="28"/>
          <w:lang w:val="zh-CN"/>
        </w:rPr>
        <w:t>单位：万元/年</w:t>
      </w:r>
    </w:p>
    <w:tbl>
      <w:tblPr>
        <w:tblStyle w:val="12"/>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3639"/>
        <w:gridCol w:w="961"/>
        <w:gridCol w:w="969"/>
        <w:gridCol w:w="969"/>
        <w:gridCol w:w="970"/>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trPr>
        <w:tc>
          <w:tcPr>
            <w:tcW w:w="735"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b/>
                <w:color w:val="FFFFFF"/>
              </w:rPr>
              <w:t>序号</w:t>
            </w:r>
          </w:p>
        </w:tc>
        <w:tc>
          <w:tcPr>
            <w:tcW w:w="3639"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b/>
                <w:color w:val="FFFFFF"/>
              </w:rPr>
              <w:t>行业门类</w:t>
            </w:r>
          </w:p>
        </w:tc>
        <w:tc>
          <w:tcPr>
            <w:tcW w:w="4840" w:type="dxa"/>
            <w:gridSpan w:val="5"/>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b/>
                <w:color w:val="FFFFFF"/>
              </w:rPr>
              <w:t>分位值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trPr>
        <w:tc>
          <w:tcPr>
            <w:tcW w:w="735"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黑体_GBK" w:cs="Times New Roman"/>
              </w:rPr>
            </w:pPr>
          </w:p>
        </w:tc>
        <w:tc>
          <w:tcPr>
            <w:tcW w:w="3639"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黑体_GBK" w:cs="Times New Roman"/>
              </w:rPr>
            </w:pPr>
          </w:p>
        </w:tc>
        <w:tc>
          <w:tcPr>
            <w:tcW w:w="961"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b/>
                <w:color w:val="FFFFFF"/>
              </w:rPr>
              <w:t>10%</w:t>
            </w:r>
          </w:p>
        </w:tc>
        <w:tc>
          <w:tcPr>
            <w:tcW w:w="969"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b/>
                <w:color w:val="FFFFFF"/>
              </w:rPr>
              <w:t>25%</w:t>
            </w:r>
          </w:p>
        </w:tc>
        <w:tc>
          <w:tcPr>
            <w:tcW w:w="969"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b/>
                <w:color w:val="FFFFFF"/>
              </w:rPr>
              <w:t>50%</w:t>
            </w:r>
          </w:p>
        </w:tc>
        <w:tc>
          <w:tcPr>
            <w:tcW w:w="97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b/>
                <w:color w:val="FFFFFF"/>
              </w:rPr>
              <w:t>75%</w:t>
            </w:r>
          </w:p>
        </w:tc>
        <w:tc>
          <w:tcPr>
            <w:tcW w:w="971"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b/>
                <w:color w:va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w:t>
            </w:r>
          </w:p>
        </w:tc>
        <w:tc>
          <w:tcPr>
            <w:tcW w:w="363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全行业</w:t>
            </w:r>
          </w:p>
        </w:tc>
        <w:tc>
          <w:tcPr>
            <w:tcW w:w="961"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3.36</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4.20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5.98</w:t>
            </w:r>
          </w:p>
        </w:tc>
        <w:tc>
          <w:tcPr>
            <w:tcW w:w="97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9.05</w:t>
            </w:r>
          </w:p>
        </w:tc>
        <w:tc>
          <w:tcPr>
            <w:tcW w:w="971"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农、林、牧、渔业</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2.60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2.81</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3.60</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5.33</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采矿业</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4.30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5.30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6.97</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8.18</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制造业</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3.03</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3.63</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4.70</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6.06</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电力、热力、燃气及水生产和供应业</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6.07</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7.04</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9.30</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13.56</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建筑业</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4.50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5.40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7.64</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10.65</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批发和零售业</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3.13</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3.67</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5.17</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8.00</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交通运输、仓储和邮政业</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3.23</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3.70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4.90</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6.57</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住宿和餐饮业</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2.76</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3.30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3.86</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4.91</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信息传输、软件和信息技术服务业</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3.52</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4.15</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5.11</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6.77</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金融业</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9.01</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12.57</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15.79</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18.49</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房地产业</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2.52</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3.18</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3.78</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5.62</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13</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租赁和商务服务业</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3.00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3.63</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5.33</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7.31</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14</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科学研究和技术服务业</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3.96</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4.80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6.00</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7.21</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水利、环境和公共设施管理业</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3.51</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3.99</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5.23</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6.88</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16</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居民服务、修理和其他服务业</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2.61</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3.36</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4.70</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6.52</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17</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教育</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2.76</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3.32</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3.84</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4.78</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18</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卫生和社会工作</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3.00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3.16</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4.20</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5.65</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19</w:t>
            </w:r>
          </w:p>
        </w:tc>
        <w:tc>
          <w:tcPr>
            <w:tcW w:w="3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文化、体育和娱乐业</w:t>
            </w:r>
          </w:p>
        </w:tc>
        <w:tc>
          <w:tcPr>
            <w:tcW w:w="9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2.80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3.00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3.50</w:t>
            </w:r>
          </w:p>
        </w:tc>
        <w:tc>
          <w:tcPr>
            <w:tcW w:w="9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5.77</w:t>
            </w:r>
          </w:p>
        </w:tc>
        <w:tc>
          <w:tcPr>
            <w:tcW w:w="9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7.28</w:t>
            </w:r>
          </w:p>
        </w:tc>
      </w:tr>
    </w:tbl>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　　（二）分企业规模的工资价位（2023年）</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方正仿宋_GBK" w:cs="Times New Roman"/>
          <w:b/>
          <w:bCs/>
          <w:sz w:val="28"/>
          <w:szCs w:val="28"/>
          <w:lang w:val="zh-CN"/>
        </w:rPr>
      </w:pPr>
      <w:r>
        <w:rPr>
          <w:rFonts w:hint="default" w:ascii="Times New Roman" w:hAnsi="Times New Roman" w:eastAsia="方正仿宋_GBK" w:cs="Times New Roman"/>
          <w:b/>
          <w:bCs/>
          <w:sz w:val="28"/>
          <w:szCs w:val="28"/>
          <w:lang w:val="zh-CN"/>
        </w:rPr>
        <w:t>单位：万元/年</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3569"/>
        <w:gridCol w:w="982"/>
        <w:gridCol w:w="982"/>
        <w:gridCol w:w="982"/>
        <w:gridCol w:w="99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序号</w:t>
            </w:r>
          </w:p>
        </w:tc>
        <w:tc>
          <w:tcPr>
            <w:tcW w:w="3969"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企业规模</w:t>
            </w:r>
          </w:p>
        </w:tc>
        <w:tc>
          <w:tcPr>
            <w:tcW w:w="1020" w:type="dxa"/>
            <w:gridSpan w:val="5"/>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分位值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rPr>
            </w:pP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10%</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25%</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50%</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75%</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大型企业</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3.74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5.94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9.86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15.92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中型企业</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3.47</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4.24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6.76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8.80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小型企业</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3.36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4.32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5.92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9.20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微型企业</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3.70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4.80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10.00</w:t>
            </w:r>
          </w:p>
        </w:tc>
      </w:tr>
    </w:tbl>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　　（三）分学历的工资价位（2023年）</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方正仿宋_GBK" w:cs="Times New Roman"/>
          <w:b/>
          <w:bCs/>
          <w:sz w:val="28"/>
          <w:szCs w:val="28"/>
          <w:lang w:val="zh-CN"/>
        </w:rPr>
      </w:pPr>
      <w:r>
        <w:rPr>
          <w:rFonts w:hint="default" w:ascii="Times New Roman" w:hAnsi="Times New Roman" w:eastAsia="方正仿宋_GBK" w:cs="Times New Roman"/>
          <w:b/>
          <w:bCs/>
          <w:sz w:val="28"/>
          <w:szCs w:val="28"/>
          <w:lang w:val="zh-CN"/>
        </w:rPr>
        <w:t>单位：万元/年</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3566"/>
        <w:gridCol w:w="979"/>
        <w:gridCol w:w="979"/>
        <w:gridCol w:w="996"/>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序号</w:t>
            </w:r>
          </w:p>
        </w:tc>
        <w:tc>
          <w:tcPr>
            <w:tcW w:w="3969"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学历</w:t>
            </w:r>
          </w:p>
        </w:tc>
        <w:tc>
          <w:tcPr>
            <w:tcW w:w="1020" w:type="dxa"/>
            <w:gridSpan w:val="5"/>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分位值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rPr>
            </w:pP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10%</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25%</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50%</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75%</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研究生（含博士、硕士）</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5.81</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8.74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16.00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22.74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大学本科</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6.12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14.07</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大学专科</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5.01</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7.31</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高中、中专或技校</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3.22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5.38</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8.40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初中及以下</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2.84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3.44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4.20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5.45</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7.01</w:t>
            </w:r>
          </w:p>
        </w:tc>
      </w:tr>
    </w:tbl>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　　（四）分岗位等级的工资价位（2023年）</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方正仿宋_GBK" w:cs="Times New Roman"/>
          <w:b/>
          <w:bCs/>
          <w:sz w:val="28"/>
          <w:szCs w:val="28"/>
          <w:lang w:val="zh-CN"/>
        </w:rPr>
      </w:pPr>
      <w:r>
        <w:rPr>
          <w:rFonts w:hint="default" w:ascii="Times New Roman" w:hAnsi="Times New Roman" w:eastAsia="方正仿宋_GBK" w:cs="Times New Roman"/>
          <w:b/>
          <w:bCs/>
          <w:sz w:val="28"/>
          <w:szCs w:val="28"/>
          <w:lang w:val="zh-CN"/>
        </w:rPr>
        <w:t>单位：万元/年</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3531"/>
        <w:gridCol w:w="985"/>
        <w:gridCol w:w="985"/>
        <w:gridCol w:w="995"/>
        <w:gridCol w:w="100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序号</w:t>
            </w:r>
          </w:p>
        </w:tc>
        <w:tc>
          <w:tcPr>
            <w:tcW w:w="3969"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岗位等级</w:t>
            </w:r>
          </w:p>
        </w:tc>
        <w:tc>
          <w:tcPr>
            <w:tcW w:w="1020" w:type="dxa"/>
            <w:gridSpan w:val="5"/>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分位值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黑体_GBK" w:hAnsi="方正黑体_GBK" w:eastAsia="方正黑体_GBK" w:cs="方正黑体_GBK"/>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黑体_GBK" w:hAnsi="方正黑体_GBK" w:eastAsia="方正黑体_GBK" w:cs="方正黑体_GBK"/>
              </w:rPr>
            </w:pP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10%</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25%</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50%</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75%</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w:t>
            </w:r>
          </w:p>
        </w:tc>
        <w:tc>
          <w:tcPr>
            <w:tcW w:w="3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管理岗位</w:t>
            </w:r>
          </w:p>
        </w:tc>
        <w:tc>
          <w:tcPr>
            <w:tcW w:w="102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4.24</w:t>
            </w:r>
          </w:p>
        </w:tc>
        <w:tc>
          <w:tcPr>
            <w:tcW w:w="102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5.52</w:t>
            </w:r>
          </w:p>
        </w:tc>
        <w:tc>
          <w:tcPr>
            <w:tcW w:w="102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7.92</w:t>
            </w:r>
          </w:p>
        </w:tc>
        <w:tc>
          <w:tcPr>
            <w:tcW w:w="102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12.00</w:t>
            </w:r>
          </w:p>
        </w:tc>
        <w:tc>
          <w:tcPr>
            <w:tcW w:w="102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高层管理岗</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5.36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6.42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9.05</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12.30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中层管理岗</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8.66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12.17</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基层管理岗</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3.63</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4.77</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6.60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管理类员工岗</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4.40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8.50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w:t>
            </w:r>
          </w:p>
        </w:tc>
        <w:tc>
          <w:tcPr>
            <w:tcW w:w="3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专业技术岗位</w:t>
            </w:r>
          </w:p>
        </w:tc>
        <w:tc>
          <w:tcPr>
            <w:tcW w:w="102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3.86</w:t>
            </w:r>
          </w:p>
        </w:tc>
        <w:tc>
          <w:tcPr>
            <w:tcW w:w="102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5.01</w:t>
            </w:r>
          </w:p>
        </w:tc>
        <w:tc>
          <w:tcPr>
            <w:tcW w:w="102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7.80</w:t>
            </w:r>
          </w:p>
        </w:tc>
        <w:tc>
          <w:tcPr>
            <w:tcW w:w="102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10.51</w:t>
            </w:r>
          </w:p>
        </w:tc>
        <w:tc>
          <w:tcPr>
            <w:tcW w:w="102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高级职称</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4.80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7.68</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16.70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21.47</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中级职称</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6.06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8.25</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14.40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初级职称</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3.80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10.75</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没有取得专业技术职称</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4.20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7.64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9.53</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11</w:t>
            </w:r>
          </w:p>
        </w:tc>
        <w:tc>
          <w:tcPr>
            <w:tcW w:w="3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职业技能岗位</w:t>
            </w:r>
          </w:p>
        </w:tc>
        <w:tc>
          <w:tcPr>
            <w:tcW w:w="102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3.04</w:t>
            </w:r>
          </w:p>
        </w:tc>
        <w:tc>
          <w:tcPr>
            <w:tcW w:w="102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3.71</w:t>
            </w:r>
          </w:p>
        </w:tc>
        <w:tc>
          <w:tcPr>
            <w:tcW w:w="102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4.80</w:t>
            </w:r>
          </w:p>
        </w:tc>
        <w:tc>
          <w:tcPr>
            <w:tcW w:w="102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6.37</w:t>
            </w:r>
          </w:p>
        </w:tc>
        <w:tc>
          <w:tcPr>
            <w:tcW w:w="102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技师</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4.50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5.98</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6.76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14.20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13</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高级工/高级技能</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3.91</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5.36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6.12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14</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中级工/中级技能</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3.25</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4.95</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5.98</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7.30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初级工/初级技能</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3.82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4.80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6.15</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16</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没有取得资格证书</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2.66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3.57</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4.50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5.75</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8.00</w:t>
            </w:r>
          </w:p>
        </w:tc>
      </w:tr>
    </w:tbl>
    <w:p>
      <w:pPr>
        <w:keepNext w:val="0"/>
        <w:keepLines w:val="0"/>
        <w:pageBreakBefore w:val="0"/>
        <w:widowControl w:val="0"/>
        <w:kinsoku/>
        <w:wordWrap/>
        <w:overflowPunct/>
        <w:topLinePunct w:val="0"/>
        <w:autoSpaceDE/>
        <w:autoSpaceDN/>
        <w:bidi w:val="0"/>
        <w:spacing w:line="560" w:lineRule="exact"/>
        <w:ind w:left="0" w:right="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　　（五）分工龄的工资价位（2023年）</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方正仿宋_GBK" w:cs="Times New Roman"/>
          <w:b/>
          <w:bCs/>
          <w:sz w:val="28"/>
          <w:szCs w:val="28"/>
          <w:lang w:val="zh-CN"/>
        </w:rPr>
      </w:pPr>
      <w:r>
        <w:rPr>
          <w:rFonts w:hint="default" w:ascii="Times New Roman" w:hAnsi="Times New Roman" w:eastAsia="方正仿宋_GBK" w:cs="Times New Roman"/>
          <w:b/>
          <w:bCs/>
          <w:sz w:val="28"/>
          <w:szCs w:val="28"/>
          <w:lang w:val="zh-CN"/>
        </w:rPr>
        <w:t>单位：万元/年</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3583"/>
        <w:gridCol w:w="979"/>
        <w:gridCol w:w="979"/>
        <w:gridCol w:w="979"/>
        <w:gridCol w:w="995"/>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序号</w:t>
            </w:r>
          </w:p>
        </w:tc>
        <w:tc>
          <w:tcPr>
            <w:tcW w:w="3969"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工龄</w:t>
            </w:r>
          </w:p>
        </w:tc>
        <w:tc>
          <w:tcPr>
            <w:tcW w:w="1020" w:type="dxa"/>
            <w:gridSpan w:val="5"/>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分位值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黑体_GBK" w:hAnsi="方正黑体_GBK" w:eastAsia="方正黑体_GBK" w:cs="方正黑体_GBK"/>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黑体_GBK" w:hAnsi="方正黑体_GBK" w:eastAsia="方正黑体_GBK" w:cs="方正黑体_GBK"/>
              </w:rPr>
            </w:pP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10%</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25%</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50%</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75%</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2~3年</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3.36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4.11</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5.36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7.86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4~5年</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4.20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5.50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10.17</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6~10年</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3.59</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4.45</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5.99</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8.40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11年及以上</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3.32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4.20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9.54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15.07</w:t>
            </w:r>
          </w:p>
        </w:tc>
      </w:tr>
    </w:tbl>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0" w:firstLineChars="0"/>
        <w:textAlignment w:val="auto"/>
        <w:rPr>
          <w:rFonts w:hint="default" w:ascii="Times New Roman" w:hAnsi="Times New Roman" w:eastAsia="方正黑体_GBK" w:cs="Times New Roman"/>
          <w:b/>
          <w:bCs w:val="0"/>
          <w:szCs w:val="32"/>
        </w:rPr>
      </w:pPr>
      <w:r>
        <w:rPr>
          <w:rFonts w:hint="default" w:ascii="Times New Roman" w:hAnsi="Times New Roman" w:eastAsia="方正黑体_GBK" w:cs="Times New Roman"/>
          <w:b/>
          <w:bCs w:val="0"/>
          <w:szCs w:val="32"/>
          <w:lang w:eastAsia="zh-CN"/>
        </w:rPr>
        <w:t>　　</w:t>
      </w:r>
      <w:r>
        <w:rPr>
          <w:rFonts w:hint="default" w:ascii="Times New Roman" w:hAnsi="Times New Roman" w:eastAsia="方正黑体_GBK" w:cs="Times New Roman"/>
          <w:b/>
          <w:bCs w:val="0"/>
          <w:szCs w:val="32"/>
        </w:rPr>
        <w:t>二、技能人才工资价位</w:t>
      </w:r>
    </w:p>
    <w:p>
      <w:pPr>
        <w:keepNext w:val="0"/>
        <w:keepLines w:val="0"/>
        <w:pageBreakBefore w:val="0"/>
        <w:widowControl w:val="0"/>
        <w:kinsoku/>
        <w:wordWrap/>
        <w:overflowPunct/>
        <w:topLinePunct w:val="0"/>
        <w:autoSpaceDE/>
        <w:autoSpaceDN/>
        <w:bidi w:val="0"/>
        <w:spacing w:line="560" w:lineRule="exact"/>
        <w:ind w:left="0" w:right="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　　（一）分行业的技能人才工资价位（2023年）</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方正仿宋_GBK" w:cs="Times New Roman"/>
          <w:b/>
          <w:bCs/>
          <w:sz w:val="28"/>
          <w:szCs w:val="28"/>
          <w:lang w:val="zh-CN"/>
        </w:rPr>
      </w:pPr>
      <w:r>
        <w:rPr>
          <w:rFonts w:hint="default" w:ascii="Times New Roman" w:hAnsi="Times New Roman" w:eastAsia="方正仿宋_GBK" w:cs="Times New Roman"/>
          <w:b/>
          <w:bCs/>
          <w:sz w:val="28"/>
          <w:szCs w:val="28"/>
          <w:lang w:val="zh-CN"/>
        </w:rPr>
        <w:t>单位：万元/年</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3536"/>
        <w:gridCol w:w="994"/>
        <w:gridCol w:w="994"/>
        <w:gridCol w:w="994"/>
        <w:gridCol w:w="99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b/>
                <w:color w:val="FFFFFF"/>
              </w:rPr>
              <w:t>序号</w:t>
            </w:r>
          </w:p>
        </w:tc>
        <w:tc>
          <w:tcPr>
            <w:tcW w:w="3969"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b/>
                <w:color w:val="FFFFFF"/>
              </w:rPr>
              <w:t>行业门类-技能人才</w:t>
            </w:r>
          </w:p>
        </w:tc>
        <w:tc>
          <w:tcPr>
            <w:tcW w:w="1020" w:type="dxa"/>
            <w:gridSpan w:val="5"/>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b/>
                <w:color w:val="FFFFFF"/>
              </w:rPr>
              <w:t>分位值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黑体_GBK" w:cs="Times New Roman"/>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黑体_GBK" w:cs="Times New Roman"/>
              </w:rPr>
            </w:pP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b/>
                <w:color w:val="FFFFFF"/>
              </w:rPr>
              <w:t>10%</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b/>
                <w:color w:val="FFFFFF"/>
              </w:rPr>
              <w:t>25%</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b/>
                <w:color w:val="FFFFFF"/>
              </w:rPr>
              <w:t>50%</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b/>
                <w:color w:val="FFFFFF"/>
              </w:rPr>
              <w:t>75%</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b/>
                <w:color w:va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采矿业</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4.40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6.19</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8.01</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制造业</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3.58</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4.20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5.47</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电力、热力、燃气及水生产和供应业</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5.95</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6.70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8.49</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11.48</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建筑业</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4.50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4.80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5.64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7.50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批发和零售业</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3.36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4.36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6.14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交通运输、仓储和邮政业</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3.20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3.61</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4.42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6.01</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住宿和餐饮业</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2.64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3.12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3.59</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4.04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金融业</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11.03</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12.87</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15.69</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17.69</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租赁和商务服务业</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2.52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3.49</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4.20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5.52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水利、环境和公共设施管理业</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2.60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3.51</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4.56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5.95</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教育</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2.64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3.12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3.76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4.43</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卫生和社会工作</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2.82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3.07</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4.10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4.20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5.04</w:t>
            </w:r>
          </w:p>
        </w:tc>
      </w:tr>
    </w:tbl>
    <w:p>
      <w:pPr>
        <w:keepNext w:val="0"/>
        <w:keepLines w:val="0"/>
        <w:pageBreakBefore w:val="0"/>
        <w:widowControl w:val="0"/>
        <w:kinsoku/>
        <w:wordWrap/>
        <w:overflowPunct/>
        <w:topLinePunct w:val="0"/>
        <w:autoSpaceDE/>
        <w:autoSpaceDN/>
        <w:bidi w:val="0"/>
        <w:spacing w:line="560" w:lineRule="exact"/>
        <w:ind w:left="0" w:right="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　　（二）分学历的技能人才工资价位（2023年）</w:t>
      </w:r>
    </w:p>
    <w:p>
      <w:pPr>
        <w:jc w:val="left"/>
        <w:rPr>
          <w:rFonts w:hint="default" w:ascii="Times New Roman" w:hAnsi="Times New Roman" w:eastAsia="仿宋_GB2312" w:cs="Times New Roman"/>
          <w:sz w:val="32"/>
          <w:lang w:val="zh-CN"/>
        </w:rPr>
      </w:pPr>
      <w:r>
        <w:rPr>
          <w:rFonts w:hint="default" w:ascii="Times New Roman" w:hAnsi="Times New Roman" w:eastAsia="方正仿宋_GBK" w:cs="Times New Roman"/>
          <w:b/>
          <w:bCs/>
          <w:sz w:val="28"/>
          <w:szCs w:val="28"/>
          <w:lang w:val="zh-CN"/>
        </w:rPr>
        <w:t>单位：万元/年</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3566"/>
        <w:gridCol w:w="979"/>
        <w:gridCol w:w="979"/>
        <w:gridCol w:w="996"/>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序号</w:t>
            </w:r>
          </w:p>
        </w:tc>
        <w:tc>
          <w:tcPr>
            <w:tcW w:w="3969"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学历-技能人才</w:t>
            </w:r>
          </w:p>
        </w:tc>
        <w:tc>
          <w:tcPr>
            <w:tcW w:w="1020" w:type="dxa"/>
            <w:gridSpan w:val="5"/>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分位值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rPr>
            </w:pP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10%</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25%</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50%</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75%</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研究生（含博士、硕士）</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5.05</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8.74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15.79</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20.22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大学本科</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4.70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6.22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9.96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14.89</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大学专科</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4.37</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4.80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6.17</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9.08</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高中、中专或技校</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3.04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3.63</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4.68</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5.70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初中及以下</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2.78</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3.36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4.16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5.18</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6.35</w:t>
            </w:r>
          </w:p>
        </w:tc>
      </w:tr>
    </w:tbl>
    <w:p>
      <w:pPr>
        <w:keepNext w:val="0"/>
        <w:keepLines w:val="0"/>
        <w:pageBreakBefore w:val="0"/>
        <w:widowControl w:val="0"/>
        <w:kinsoku/>
        <w:wordWrap/>
        <w:overflowPunct/>
        <w:topLinePunct w:val="0"/>
        <w:autoSpaceDE/>
        <w:autoSpaceDN/>
        <w:bidi w:val="0"/>
        <w:spacing w:line="560" w:lineRule="exact"/>
        <w:ind w:left="0" w:right="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　　（三）分工龄的技能人才工资价位（2023年）</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方正仿宋_GBK" w:cs="Times New Roman"/>
          <w:b/>
          <w:bCs/>
          <w:sz w:val="28"/>
          <w:szCs w:val="28"/>
          <w:lang w:val="zh-CN"/>
        </w:rPr>
      </w:pPr>
      <w:r>
        <w:rPr>
          <w:rFonts w:hint="default" w:ascii="Times New Roman" w:hAnsi="Times New Roman" w:eastAsia="方正仿宋_GBK" w:cs="Times New Roman"/>
          <w:b/>
          <w:bCs/>
          <w:sz w:val="28"/>
          <w:szCs w:val="28"/>
          <w:lang w:val="zh-CN"/>
        </w:rPr>
        <w:t>单位：万元/年</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3593"/>
        <w:gridCol w:w="980"/>
        <w:gridCol w:w="980"/>
        <w:gridCol w:w="980"/>
        <w:gridCol w:w="981"/>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序号</w:t>
            </w:r>
          </w:p>
        </w:tc>
        <w:tc>
          <w:tcPr>
            <w:tcW w:w="3969"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工龄-技能人才</w:t>
            </w:r>
          </w:p>
        </w:tc>
        <w:tc>
          <w:tcPr>
            <w:tcW w:w="1020" w:type="dxa"/>
            <w:gridSpan w:val="5"/>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分位值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rPr>
            </w:pP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10%</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25%</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50%</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75%</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2~3年</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3.36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3.80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4.77</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6.23</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4~5年</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2.60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3.36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4.50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5.83</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6~10年</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3.18</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4.03</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4.92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6.45</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11年及以上</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3.00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3.62</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4.63</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6.14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10.42</w:t>
            </w:r>
          </w:p>
        </w:tc>
      </w:tr>
    </w:tbl>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0" w:firstLineChars="0"/>
        <w:textAlignment w:val="auto"/>
        <w:rPr>
          <w:rFonts w:hint="default" w:ascii="Times New Roman" w:hAnsi="Times New Roman" w:eastAsia="方正黑体_GBK" w:cs="Times New Roman"/>
          <w:b/>
          <w:bCs w:val="0"/>
          <w:szCs w:val="32"/>
        </w:rPr>
      </w:pPr>
      <w:r>
        <w:rPr>
          <w:rFonts w:hint="default" w:ascii="Times New Roman" w:hAnsi="Times New Roman" w:eastAsia="方正黑体_GBK" w:cs="Times New Roman"/>
          <w:b/>
          <w:bCs w:val="0"/>
          <w:szCs w:val="32"/>
          <w:lang w:eastAsia="zh-CN"/>
        </w:rPr>
        <w:t>　　</w:t>
      </w:r>
      <w:r>
        <w:rPr>
          <w:rFonts w:hint="default" w:ascii="Times New Roman" w:hAnsi="Times New Roman" w:eastAsia="方正黑体_GBK" w:cs="Times New Roman"/>
          <w:b/>
          <w:bCs w:val="0"/>
          <w:szCs w:val="32"/>
        </w:rPr>
        <w:t>三、分职业的工资价位（2023年）</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方正仿宋_GBK" w:cs="Times New Roman"/>
          <w:b/>
          <w:bCs/>
          <w:sz w:val="28"/>
          <w:szCs w:val="28"/>
          <w:lang w:val="zh-CN"/>
        </w:rPr>
      </w:pPr>
      <w:r>
        <w:rPr>
          <w:rFonts w:hint="default" w:ascii="Times New Roman" w:hAnsi="Times New Roman" w:eastAsia="方正仿宋_GBK" w:cs="Times New Roman"/>
          <w:b/>
          <w:bCs/>
          <w:sz w:val="28"/>
          <w:szCs w:val="28"/>
          <w:lang w:val="zh-CN"/>
        </w:rPr>
        <w:t>单位：万元/年</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3663"/>
        <w:gridCol w:w="969"/>
        <w:gridCol w:w="969"/>
        <w:gridCol w:w="969"/>
        <w:gridCol w:w="969"/>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553"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序号</w:t>
            </w:r>
          </w:p>
        </w:tc>
        <w:tc>
          <w:tcPr>
            <w:tcW w:w="3663"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职业</w:t>
            </w:r>
          </w:p>
        </w:tc>
        <w:tc>
          <w:tcPr>
            <w:tcW w:w="4845" w:type="dxa"/>
            <w:gridSpan w:val="5"/>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分位值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553"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rPr>
            </w:pPr>
          </w:p>
        </w:tc>
        <w:tc>
          <w:tcPr>
            <w:tcW w:w="3663"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rPr>
            </w:pPr>
          </w:p>
        </w:tc>
        <w:tc>
          <w:tcPr>
            <w:tcW w:w="969"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10%</w:t>
            </w:r>
          </w:p>
        </w:tc>
        <w:tc>
          <w:tcPr>
            <w:tcW w:w="969"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25%</w:t>
            </w:r>
          </w:p>
        </w:tc>
        <w:tc>
          <w:tcPr>
            <w:tcW w:w="969"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50%</w:t>
            </w:r>
          </w:p>
        </w:tc>
        <w:tc>
          <w:tcPr>
            <w:tcW w:w="969"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75%</w:t>
            </w:r>
          </w:p>
        </w:tc>
        <w:tc>
          <w:tcPr>
            <w:tcW w:w="969"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w:t>
            </w:r>
          </w:p>
        </w:tc>
        <w:tc>
          <w:tcPr>
            <w:tcW w:w="3663"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单位负责人</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4.97</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6.00</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8.66</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12.30</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企事业单位负责人</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4.97</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6.00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8.66</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12.30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企业负责人</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4.93</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6.00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8.40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12.30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w:t>
            </w:r>
          </w:p>
        </w:tc>
        <w:tc>
          <w:tcPr>
            <w:tcW w:w="3663"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专业技术人员</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3.92</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5.25</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7.95</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10.62</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工程技术人员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4.45</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6.57</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8.70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10.86</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机械工程技术人员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3.00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4.70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7.29</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建筑工程技术人员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6.63</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7.64</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8.80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13.00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安全工程技术人员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5.64</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5.70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7.04</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7.80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标准化、计量、质量和认证认可工程技术人员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5.33</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5.47</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6.80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9.79</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管理(工业)工程技术人员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5.40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8.40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12.00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16.20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检验检疫工程技术人员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4.20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5.89</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7.07</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7.91</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12</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卫生专业技术人员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3.00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3.50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4.89</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7.20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13</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药学技术人员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4.65</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5.36</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5.47</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6.84</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14</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医疗卫生技术人员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3.78</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4.30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4.65</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5.29</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护理人员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3.67</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4.20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4.89</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6.26</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16</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经济和金融专业人员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2.76</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4.32</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6.00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9.95</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17</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会计专业人员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4.40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5.40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7.31</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18</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商务专业人员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2.50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3.40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5.60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8.32</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19</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人力资源专业人员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3.50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4.86</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6.70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9.00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20</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教学人员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3.00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3.42</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4.12</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4.79</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21</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文学艺术、体育专业人员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2.50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3.00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4.11</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4.49</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22</w:t>
            </w:r>
          </w:p>
        </w:tc>
        <w:tc>
          <w:tcPr>
            <w:tcW w:w="3663"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办事人员和有关人员</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3.60</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4.34</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6.00</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8.40</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23</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行政办事及辅助人员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3.66</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4.56</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6.00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8.71</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24</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行政业务办理人员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3.85</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4.80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6.00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8.66</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25</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行政事务处理人员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3.72</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4.52</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6.09</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8.90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26</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安全和消防及辅助人员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2.92</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3.80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4.17</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5.95</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27</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保卫和警务辅助人员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2.88</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3.69</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4.00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5.95</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28</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其他安全和消防及辅助人员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3.39</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3.71</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4.17</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4.34</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29</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其他办事人员和有关人员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3.84</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4.65</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6.27</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10.16</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30</w:t>
            </w:r>
          </w:p>
        </w:tc>
        <w:tc>
          <w:tcPr>
            <w:tcW w:w="3663"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社会生产服务和生活服务人员</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2.89</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3.36</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4.44</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7.50</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31</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批发与零售服务人员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3.00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3.49</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4.60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6.53</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32</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购销服务人员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3.81</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4.57</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5.75</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8.00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33</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销售人员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3.00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3.40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4.44</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6.19</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34</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电子商务服务人员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3.40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4.08</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5.23</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5.65</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35</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其他批发与零售服务人员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3.15</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3.29</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3.83</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5.51</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36</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交通运输、仓储物流和邮政业服务人员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3.20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3.70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4.94</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6.34</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37</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道路运输服务人员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3.35</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3.83</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4.85</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5.40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38</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装卸搬运和运输代理服务人员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4.10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4.13</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4.60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6.10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39</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仓储物流服务人员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3.12</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4.30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7.50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40</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住宿和餐饮服务人员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2.62</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3.10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3.40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3.97</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41</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餐饮服务人员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2.45</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3.11</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3.40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3.98</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42</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信息传输、软件和信息技术服务人员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4.80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5.27</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6.37</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8.19</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43</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信息通信网络维护人员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4.99</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5.24</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5.66</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6.48</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44</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信息通信网络运行管理人员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5.72</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6.72</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8.21</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10.00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45</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金融服务人员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9.55</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12.57</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15.52</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17.55</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46</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银行服务人员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10.56</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12.89</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15.65</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17.60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47</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租赁和商务服务人员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2.55</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3.00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3.60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4.20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48</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技术辅助服务人员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3.00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3.76</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5.52</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6.05</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49</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检验、检测和计量服务人员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3.61</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4.20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5.86</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6.32</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50</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水利、环境和公共设施管理服务人员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2.52</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3.06</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4.00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8.40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51</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环境治理服务人员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4.65</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7.66</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8.60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8.90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52</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环境卫生服务人员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2.40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2.52</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3.20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4.00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53</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居民服务人员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2.37</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2.66</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3.41</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4.20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54</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电力、燃气及水供应服务人员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4.76</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7.99</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10.89</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14.05</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55</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修理及制作服务人员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3.80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4.54</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5.88</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7.66</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56</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汽车摩托车修理技术服务人员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3.80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4.40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5.36</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7.18</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57</w:t>
            </w:r>
          </w:p>
        </w:tc>
        <w:tc>
          <w:tcPr>
            <w:tcW w:w="3663"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生产制造及有关人员</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3.32</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4.02</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4.92</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6.01</w:t>
            </w:r>
          </w:p>
        </w:tc>
        <w:tc>
          <w:tcPr>
            <w:tcW w:w="969" w:type="dxa"/>
            <w:shd w:val="clear" w:color="auto" w:fill="AEABA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58</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机械制造基础加工人员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4.28</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5.55</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6.76</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7.15</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59</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电力、热力、气体、水生产和输配人员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4.62</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6.22</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6.73</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8.59</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60</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电力、热力生产和供应人员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3.67</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4.37</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8.24</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9.69</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61</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建筑安装施工人员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4.60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4.68</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4.80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6.17</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62</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生产辅助人员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3.31</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4.00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5.13</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7.84</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63</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机械设备修理人员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3.24</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3.62</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4.50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6.72</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64</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检验试验人员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3.40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4.27</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5.38</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11.30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65</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包装人员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2.88</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4.56</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4.80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66</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安全生产管理人员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4.80</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5.09</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6.65</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13.97</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67</w:t>
            </w:r>
          </w:p>
        </w:tc>
        <w:tc>
          <w:tcPr>
            <w:tcW w:w="366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其他生产辅助人员</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3.18</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3.97</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5.44</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6.94</w:t>
            </w:r>
          </w:p>
        </w:tc>
        <w:tc>
          <w:tcPr>
            <w:tcW w:w="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68</w:t>
            </w:r>
          </w:p>
        </w:tc>
        <w:tc>
          <w:tcPr>
            <w:tcW w:w="366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其他生产制造及有关人员</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4.00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4.74</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5.98</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7.50</w:t>
            </w:r>
          </w:p>
        </w:tc>
        <w:tc>
          <w:tcPr>
            <w:tcW w:w="969"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8.00</w:t>
            </w:r>
          </w:p>
        </w:tc>
      </w:tr>
    </w:tbl>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_GBK" w:cs="Times New Roman"/>
          <w:b/>
          <w:bCs/>
          <w:sz w:val="36"/>
          <w:szCs w:val="36"/>
        </w:rPr>
      </w:pPr>
      <w:bookmarkStart w:id="6" w:name="_Toc107071312"/>
      <w:bookmarkStart w:id="7" w:name="_Toc28463"/>
      <w:bookmarkStart w:id="8" w:name="_Toc10432"/>
      <w:r>
        <w:rPr>
          <w:rFonts w:hint="default" w:ascii="Times New Roman" w:hAnsi="Times New Roman" w:eastAsia="方正小标宋_GBK" w:cs="Times New Roman"/>
          <w:b/>
          <w:bCs/>
          <w:sz w:val="36"/>
          <w:szCs w:val="36"/>
        </w:rPr>
        <w:t>第二部分 行业人工成本信息</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0" w:firstLineChars="0"/>
        <w:textAlignment w:val="auto"/>
        <w:rPr>
          <w:rFonts w:hint="default" w:ascii="Times New Roman" w:hAnsi="Times New Roman" w:eastAsia="方正黑体_GBK" w:cs="Times New Roman"/>
          <w:b/>
          <w:bCs w:val="0"/>
          <w:szCs w:val="32"/>
        </w:rPr>
      </w:pPr>
      <w:r>
        <w:rPr>
          <w:rFonts w:hint="default" w:ascii="Times New Roman" w:hAnsi="Times New Roman" w:eastAsia="方正黑体_GBK" w:cs="Times New Roman"/>
          <w:b/>
          <w:bCs w:val="0"/>
          <w:szCs w:val="32"/>
          <w:lang w:eastAsia="zh-CN"/>
        </w:rPr>
        <w:t>　　</w:t>
      </w:r>
      <w:r>
        <w:rPr>
          <w:rFonts w:hint="default" w:ascii="Times New Roman" w:hAnsi="Times New Roman" w:eastAsia="方正黑体_GBK" w:cs="Times New Roman"/>
          <w:b/>
          <w:bCs w:val="0"/>
          <w:szCs w:val="32"/>
        </w:rPr>
        <w:t>一、企业人工成本水平</w:t>
      </w:r>
    </w:p>
    <w:p>
      <w:pPr>
        <w:keepNext w:val="0"/>
        <w:keepLines w:val="0"/>
        <w:pageBreakBefore w:val="0"/>
        <w:widowControl w:val="0"/>
        <w:kinsoku/>
        <w:wordWrap/>
        <w:overflowPunct/>
        <w:topLinePunct w:val="0"/>
        <w:autoSpaceDE/>
        <w:autoSpaceDN/>
        <w:bidi w:val="0"/>
        <w:spacing w:line="560" w:lineRule="exact"/>
        <w:ind w:left="0" w:right="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　　（一）分行业门类的人工成本水平（2023年）</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方正仿宋_GBK" w:cs="Times New Roman"/>
          <w:b/>
          <w:bCs/>
          <w:sz w:val="28"/>
          <w:szCs w:val="28"/>
          <w:lang w:val="zh-CN"/>
        </w:rPr>
      </w:pPr>
      <w:r>
        <w:rPr>
          <w:rFonts w:hint="default" w:ascii="Times New Roman" w:hAnsi="Times New Roman" w:eastAsia="方正仿宋_GBK" w:cs="Times New Roman"/>
          <w:b/>
          <w:bCs/>
          <w:sz w:val="28"/>
          <w:szCs w:val="28"/>
          <w:lang w:val="zh-CN"/>
        </w:rPr>
        <w:t>单位：万元/年</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3595"/>
        <w:gridCol w:w="983"/>
        <w:gridCol w:w="983"/>
        <w:gridCol w:w="983"/>
        <w:gridCol w:w="983"/>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550"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序号</w:t>
            </w:r>
          </w:p>
        </w:tc>
        <w:tc>
          <w:tcPr>
            <w:tcW w:w="3595"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行业门类</w:t>
            </w:r>
          </w:p>
        </w:tc>
        <w:tc>
          <w:tcPr>
            <w:tcW w:w="4915" w:type="dxa"/>
            <w:gridSpan w:val="5"/>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分位值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550"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黑体_GBK" w:hAnsi="方正黑体_GBK" w:eastAsia="方正黑体_GBK" w:cs="方正黑体_GBK"/>
              </w:rPr>
            </w:pPr>
          </w:p>
        </w:tc>
        <w:tc>
          <w:tcPr>
            <w:tcW w:w="3595"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黑体_GBK" w:hAnsi="方正黑体_GBK" w:eastAsia="方正黑体_GBK" w:cs="方正黑体_GBK"/>
              </w:rPr>
            </w:pPr>
          </w:p>
        </w:tc>
        <w:tc>
          <w:tcPr>
            <w:tcW w:w="983"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10%</w:t>
            </w:r>
          </w:p>
        </w:tc>
        <w:tc>
          <w:tcPr>
            <w:tcW w:w="983"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25%</w:t>
            </w:r>
          </w:p>
        </w:tc>
        <w:tc>
          <w:tcPr>
            <w:tcW w:w="983"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50%</w:t>
            </w:r>
          </w:p>
        </w:tc>
        <w:tc>
          <w:tcPr>
            <w:tcW w:w="983"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75%</w:t>
            </w:r>
          </w:p>
        </w:tc>
        <w:tc>
          <w:tcPr>
            <w:tcW w:w="983"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5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w:t>
            </w:r>
          </w:p>
        </w:tc>
        <w:tc>
          <w:tcPr>
            <w:tcW w:w="3595"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全行业</w:t>
            </w:r>
          </w:p>
        </w:tc>
        <w:tc>
          <w:tcPr>
            <w:tcW w:w="98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4.29</w:t>
            </w:r>
          </w:p>
        </w:tc>
        <w:tc>
          <w:tcPr>
            <w:tcW w:w="98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6.19</w:t>
            </w:r>
          </w:p>
        </w:tc>
        <w:tc>
          <w:tcPr>
            <w:tcW w:w="98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7.58</w:t>
            </w:r>
          </w:p>
        </w:tc>
        <w:tc>
          <w:tcPr>
            <w:tcW w:w="98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14.07</w:t>
            </w:r>
          </w:p>
        </w:tc>
        <w:tc>
          <w:tcPr>
            <w:tcW w:w="983"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5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w:t>
            </w:r>
          </w:p>
        </w:tc>
        <w:tc>
          <w:tcPr>
            <w:tcW w:w="35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制造业</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3.67</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4.86</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7.04</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9.59</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w:t>
            </w:r>
          </w:p>
        </w:tc>
        <w:tc>
          <w:tcPr>
            <w:tcW w:w="35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建筑业</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6.11</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7.41</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10.43</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18.52</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w:t>
            </w:r>
          </w:p>
        </w:tc>
        <w:tc>
          <w:tcPr>
            <w:tcW w:w="35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批发和零售业</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4.36</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5.71</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7.45</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8.53</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w:t>
            </w:r>
          </w:p>
        </w:tc>
        <w:tc>
          <w:tcPr>
            <w:tcW w:w="35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交通运输、仓储和邮政业</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5.29</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5.40</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6.81</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9.07</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5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cs="Times New Roman"/>
              </w:rPr>
              <w:t>6</w:t>
            </w:r>
          </w:p>
        </w:tc>
        <w:tc>
          <w:tcPr>
            <w:tcW w:w="35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房地产业</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3.40</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3.66</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6.47</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7.37</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w:t>
            </w:r>
          </w:p>
        </w:tc>
        <w:tc>
          <w:tcPr>
            <w:tcW w:w="35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租赁和商务服务业</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5.14</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6.19</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7.43</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10.96</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w:t>
            </w:r>
          </w:p>
        </w:tc>
        <w:tc>
          <w:tcPr>
            <w:tcW w:w="35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水利、环境和公共设施管理业</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4.01</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5.47</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10.27</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12.76</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w:t>
            </w:r>
          </w:p>
        </w:tc>
        <w:tc>
          <w:tcPr>
            <w:tcW w:w="35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文化、体育和娱乐业</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3.15</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3.35</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3.72</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5.39</w:t>
            </w:r>
          </w:p>
        </w:tc>
        <w:tc>
          <w:tcPr>
            <w:tcW w:w="9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7.94</w:t>
            </w:r>
          </w:p>
        </w:tc>
      </w:tr>
    </w:tbl>
    <w:p>
      <w:pPr>
        <w:keepNext w:val="0"/>
        <w:keepLines w:val="0"/>
        <w:pageBreakBefore w:val="0"/>
        <w:widowControl w:val="0"/>
        <w:kinsoku/>
        <w:wordWrap/>
        <w:overflowPunct/>
        <w:topLinePunct w:val="0"/>
        <w:autoSpaceDE/>
        <w:autoSpaceDN/>
        <w:bidi w:val="0"/>
        <w:spacing w:line="560" w:lineRule="exact"/>
        <w:ind w:left="0" w:right="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　　（二）分企业规模的人工成本水平（2023年）</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方正仿宋_GBK" w:cs="Times New Roman"/>
          <w:b/>
          <w:bCs/>
          <w:sz w:val="28"/>
          <w:szCs w:val="28"/>
          <w:lang w:val="zh-CN"/>
        </w:rPr>
      </w:pPr>
      <w:r>
        <w:rPr>
          <w:rFonts w:hint="default" w:ascii="Times New Roman" w:hAnsi="Times New Roman" w:eastAsia="方正仿宋_GBK" w:cs="Times New Roman"/>
          <w:b/>
          <w:bCs/>
          <w:sz w:val="28"/>
          <w:szCs w:val="28"/>
          <w:lang w:val="zh-CN"/>
        </w:rPr>
        <w:t>单位：万元/年</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3569"/>
        <w:gridCol w:w="982"/>
        <w:gridCol w:w="982"/>
        <w:gridCol w:w="982"/>
        <w:gridCol w:w="99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567"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序号</w:t>
            </w:r>
          </w:p>
        </w:tc>
        <w:tc>
          <w:tcPr>
            <w:tcW w:w="3969"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企业规模</w:t>
            </w:r>
          </w:p>
        </w:tc>
        <w:tc>
          <w:tcPr>
            <w:tcW w:w="1020" w:type="dxa"/>
            <w:gridSpan w:val="5"/>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分位值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134"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rPr>
            </w:pP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10%</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25%</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50%</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75%</w:t>
            </w:r>
          </w:p>
        </w:tc>
        <w:tc>
          <w:tcPr>
            <w:tcW w:w="102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小型企业</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4.29</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6.84</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7.58</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10.43</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w:t>
            </w:r>
          </w:p>
        </w:tc>
        <w:tc>
          <w:tcPr>
            <w:tcW w:w="39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微型企业</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3.67</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4.86</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6.11</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7.80</w:t>
            </w:r>
          </w:p>
        </w:tc>
        <w:tc>
          <w:tcPr>
            <w:tcW w:w="1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14.07</w:t>
            </w:r>
          </w:p>
        </w:tc>
      </w:tr>
    </w:tbl>
    <w:p>
      <w:pPr>
        <w:keepNext w:val="0"/>
        <w:keepLines w:val="0"/>
        <w:pageBreakBefore w:val="0"/>
        <w:widowControl w:val="0"/>
        <w:kinsoku/>
        <w:wordWrap/>
        <w:overflowPunct/>
        <w:topLinePunct w:val="0"/>
        <w:autoSpaceDE/>
        <w:autoSpaceDN/>
        <w:bidi w:val="0"/>
        <w:spacing w:line="560" w:lineRule="exact"/>
        <w:ind w:left="0" w:right="0"/>
        <w:textAlignment w:val="auto"/>
        <w:rPr>
          <w:rFonts w:hint="default" w:ascii="Times New Roman" w:hAnsi="Times New Roman" w:eastAsia="楷体_GB2312" w:cs="Times New Roman"/>
          <w:b w:val="0"/>
          <w:bCs/>
          <w:szCs w:val="30"/>
        </w:rPr>
      </w:pPr>
      <w:r>
        <w:rPr>
          <w:rFonts w:hint="default" w:ascii="Times New Roman" w:hAnsi="Times New Roman" w:eastAsia="方正楷体_GBK" w:cs="Times New Roman"/>
          <w:b/>
          <w:bCs/>
          <w:sz w:val="32"/>
          <w:szCs w:val="32"/>
          <w:lang w:eastAsia="zh-CN"/>
        </w:rPr>
        <w:t>　　（三）分登记注册类型的人工成本水平（2023年）</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方正仿宋_GBK" w:cs="Times New Roman"/>
          <w:b/>
          <w:bCs/>
          <w:sz w:val="28"/>
          <w:szCs w:val="28"/>
          <w:lang w:val="zh-CN"/>
        </w:rPr>
      </w:pPr>
      <w:r>
        <w:rPr>
          <w:rFonts w:hint="default" w:ascii="Times New Roman" w:hAnsi="Times New Roman" w:eastAsia="方正仿宋_GBK" w:cs="Times New Roman"/>
          <w:b/>
          <w:bCs/>
          <w:sz w:val="28"/>
          <w:szCs w:val="28"/>
          <w:lang w:val="zh-CN"/>
        </w:rPr>
        <w:t>单位：万元/年</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3598"/>
        <w:gridCol w:w="980"/>
        <w:gridCol w:w="980"/>
        <w:gridCol w:w="980"/>
        <w:gridCol w:w="98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552"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序号</w:t>
            </w:r>
          </w:p>
        </w:tc>
        <w:tc>
          <w:tcPr>
            <w:tcW w:w="3598"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登记注册类型</w:t>
            </w:r>
          </w:p>
        </w:tc>
        <w:tc>
          <w:tcPr>
            <w:tcW w:w="4910" w:type="dxa"/>
            <w:gridSpan w:val="5"/>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分位值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552"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黑体_GBK" w:hAnsi="方正黑体_GBK" w:eastAsia="方正黑体_GBK" w:cs="方正黑体_GBK"/>
              </w:rPr>
            </w:pPr>
          </w:p>
        </w:tc>
        <w:tc>
          <w:tcPr>
            <w:tcW w:w="3598"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黑体_GBK" w:hAnsi="方正黑体_GBK" w:eastAsia="方正黑体_GBK" w:cs="方正黑体_GBK"/>
              </w:rPr>
            </w:pPr>
          </w:p>
        </w:tc>
        <w:tc>
          <w:tcPr>
            <w:tcW w:w="98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10%</w:t>
            </w:r>
          </w:p>
        </w:tc>
        <w:tc>
          <w:tcPr>
            <w:tcW w:w="98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25%</w:t>
            </w:r>
          </w:p>
        </w:tc>
        <w:tc>
          <w:tcPr>
            <w:tcW w:w="98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50%</w:t>
            </w:r>
          </w:p>
        </w:tc>
        <w:tc>
          <w:tcPr>
            <w:tcW w:w="985"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75%</w:t>
            </w:r>
          </w:p>
        </w:tc>
        <w:tc>
          <w:tcPr>
            <w:tcW w:w="985"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52"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w:t>
            </w:r>
          </w:p>
        </w:tc>
        <w:tc>
          <w:tcPr>
            <w:tcW w:w="3598"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内资企业</w:t>
            </w:r>
          </w:p>
        </w:tc>
        <w:tc>
          <w:tcPr>
            <w:tcW w:w="98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4.29</w:t>
            </w:r>
          </w:p>
        </w:tc>
        <w:tc>
          <w:tcPr>
            <w:tcW w:w="98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6.19</w:t>
            </w:r>
          </w:p>
        </w:tc>
        <w:tc>
          <w:tcPr>
            <w:tcW w:w="98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7.58</w:t>
            </w:r>
          </w:p>
        </w:tc>
        <w:tc>
          <w:tcPr>
            <w:tcW w:w="985"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14.07</w:t>
            </w:r>
          </w:p>
        </w:tc>
        <w:tc>
          <w:tcPr>
            <w:tcW w:w="985"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w:t>
            </w:r>
          </w:p>
        </w:tc>
        <w:tc>
          <w:tcPr>
            <w:tcW w:w="359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有限责任公司</w:t>
            </w:r>
          </w:p>
        </w:tc>
        <w:tc>
          <w:tcPr>
            <w:tcW w:w="9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4.29</w:t>
            </w:r>
          </w:p>
        </w:tc>
        <w:tc>
          <w:tcPr>
            <w:tcW w:w="9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6.11</w:t>
            </w:r>
          </w:p>
        </w:tc>
        <w:tc>
          <w:tcPr>
            <w:tcW w:w="9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7.80</w:t>
            </w:r>
          </w:p>
        </w:tc>
        <w:tc>
          <w:tcPr>
            <w:tcW w:w="98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15.28</w:t>
            </w:r>
          </w:p>
        </w:tc>
        <w:tc>
          <w:tcPr>
            <w:tcW w:w="98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19.84</w:t>
            </w:r>
          </w:p>
        </w:tc>
      </w:tr>
    </w:tbl>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0" w:firstLineChars="0"/>
        <w:textAlignment w:val="auto"/>
        <w:rPr>
          <w:rFonts w:hint="default" w:ascii="Times New Roman" w:hAnsi="Times New Roman" w:eastAsia="方正黑体_GBK" w:cs="Times New Roman"/>
          <w:b/>
          <w:bCs w:val="0"/>
          <w:szCs w:val="32"/>
        </w:rPr>
      </w:pPr>
      <w:r>
        <w:rPr>
          <w:rFonts w:hint="default" w:ascii="Times New Roman" w:hAnsi="Times New Roman" w:eastAsia="方正黑体_GBK" w:cs="Times New Roman"/>
          <w:b/>
          <w:bCs w:val="0"/>
          <w:szCs w:val="32"/>
          <w:lang w:eastAsia="zh-CN"/>
        </w:rPr>
        <w:t>　　</w:t>
      </w:r>
      <w:r>
        <w:rPr>
          <w:rFonts w:hint="default" w:ascii="Times New Roman" w:hAnsi="Times New Roman" w:eastAsia="方正黑体_GBK" w:cs="Times New Roman"/>
          <w:b/>
          <w:bCs w:val="0"/>
          <w:szCs w:val="32"/>
        </w:rPr>
        <w:t>二、企业人工成本构成</w:t>
      </w:r>
    </w:p>
    <w:p>
      <w:pPr>
        <w:keepNext w:val="0"/>
        <w:keepLines w:val="0"/>
        <w:pageBreakBefore w:val="0"/>
        <w:widowControl w:val="0"/>
        <w:kinsoku/>
        <w:wordWrap/>
        <w:overflowPunct/>
        <w:topLinePunct w:val="0"/>
        <w:autoSpaceDE/>
        <w:autoSpaceDN/>
        <w:bidi w:val="0"/>
        <w:spacing w:line="560" w:lineRule="exact"/>
        <w:ind w:left="0" w:right="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　　（一）分行业门类的人工成本构成（2023年）</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方正仿宋_GBK" w:cs="Times New Roman"/>
          <w:b/>
          <w:bCs/>
          <w:sz w:val="28"/>
          <w:szCs w:val="28"/>
          <w:lang w:val="zh-CN"/>
        </w:rPr>
      </w:pPr>
      <w:r>
        <w:rPr>
          <w:rFonts w:hint="default" w:ascii="Times New Roman" w:hAnsi="Times New Roman" w:eastAsia="方正仿宋_GBK" w:cs="Times New Roman"/>
          <w:b/>
          <w:bCs/>
          <w:sz w:val="28"/>
          <w:szCs w:val="28"/>
          <w:lang w:val="zh-CN"/>
        </w:rPr>
        <w:t>单位：%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949"/>
        <w:gridCol w:w="1085"/>
        <w:gridCol w:w="828"/>
        <w:gridCol w:w="828"/>
        <w:gridCol w:w="881"/>
        <w:gridCol w:w="1056"/>
        <w:gridCol w:w="828"/>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序号</w:t>
            </w:r>
          </w:p>
        </w:tc>
        <w:tc>
          <w:tcPr>
            <w:tcW w:w="2268"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行业门类</w:t>
            </w:r>
          </w:p>
        </w:tc>
        <w:tc>
          <w:tcPr>
            <w:tcW w:w="1134" w:type="dxa"/>
            <w:gridSpan w:val="7"/>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人工成本构成（%）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9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黑体_GBK" w:hAnsi="方正黑体_GBK" w:eastAsia="方正黑体_GBK" w:cs="方正黑体_GBK"/>
              </w:rPr>
            </w:pPr>
          </w:p>
        </w:tc>
        <w:tc>
          <w:tcPr>
            <w:tcW w:w="9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黑体_GBK" w:hAnsi="方正黑体_GBK" w:eastAsia="方正黑体_GBK" w:cs="方正黑体_GBK"/>
              </w:rPr>
            </w:pPr>
          </w:p>
        </w:tc>
        <w:tc>
          <w:tcPr>
            <w:tcW w:w="1134"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从业人员工资总额</w:t>
            </w:r>
          </w:p>
        </w:tc>
        <w:tc>
          <w:tcPr>
            <w:tcW w:w="85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福利费用</w:t>
            </w:r>
          </w:p>
        </w:tc>
        <w:tc>
          <w:tcPr>
            <w:tcW w:w="85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教育经费</w:t>
            </w:r>
          </w:p>
        </w:tc>
        <w:tc>
          <w:tcPr>
            <w:tcW w:w="85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保险费用</w:t>
            </w:r>
          </w:p>
        </w:tc>
        <w:tc>
          <w:tcPr>
            <w:tcW w:w="1134"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劳动保护费用</w:t>
            </w:r>
          </w:p>
        </w:tc>
        <w:tc>
          <w:tcPr>
            <w:tcW w:w="85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住房费用</w:t>
            </w:r>
          </w:p>
        </w:tc>
        <w:tc>
          <w:tcPr>
            <w:tcW w:w="1134"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其他人工成本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w:t>
            </w:r>
          </w:p>
        </w:tc>
        <w:tc>
          <w:tcPr>
            <w:tcW w:w="2268"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全行业</w:t>
            </w:r>
          </w:p>
        </w:tc>
        <w:tc>
          <w:tcPr>
            <w:tcW w:w="113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74.20</w:t>
            </w:r>
          </w:p>
        </w:tc>
        <w:tc>
          <w:tcPr>
            <w:tcW w:w="85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3.96</w:t>
            </w:r>
          </w:p>
        </w:tc>
        <w:tc>
          <w:tcPr>
            <w:tcW w:w="85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0.78</w:t>
            </w:r>
          </w:p>
        </w:tc>
        <w:tc>
          <w:tcPr>
            <w:tcW w:w="85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14.80</w:t>
            </w:r>
          </w:p>
        </w:tc>
        <w:tc>
          <w:tcPr>
            <w:tcW w:w="113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0.76</w:t>
            </w:r>
          </w:p>
        </w:tc>
        <w:tc>
          <w:tcPr>
            <w:tcW w:w="85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3.06</w:t>
            </w:r>
          </w:p>
        </w:tc>
        <w:tc>
          <w:tcPr>
            <w:tcW w:w="113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制造业</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76.53</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4.96</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0.75</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13.09</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1.00</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0.96</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建筑业</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75.94</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2.69</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0.83</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14.28</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0.78</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2.88</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批发和零售业</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67.22</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5.02</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1.14</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18.96</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0.60</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5.39</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交通运输、仓储和邮政业</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65.46</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3.59</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0.44</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23.42</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1.97</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2.93</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金融业</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70.05</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8.21</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0.63</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13.25</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0.24</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5.36</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房地产业</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85.62</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2.27</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0.28</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9.96</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0.33</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0.53</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租赁和商务服务业</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71.80</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3.81</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0.56</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16.25</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0.49</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4.93</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水利、环境和公共设施管理业</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76.31</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2.36</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1.03</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13.79</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0.24</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4.43</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文化、体育和娱乐业</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81.44</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2.49</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0.62</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11.34</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0.33</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2.65</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1.13</w:t>
            </w:r>
          </w:p>
        </w:tc>
      </w:tr>
    </w:tbl>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val="en-US" w:eastAsia="zh-CN"/>
        </w:rPr>
        <w:t>　　（二）分企业规模的人工成本构成（2023年</w:t>
      </w:r>
      <w:r>
        <w:rPr>
          <w:rFonts w:hint="default" w:ascii="Times New Roman" w:hAnsi="Times New Roman" w:eastAsia="方正楷体_GBK"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default" w:ascii="Times New Roman" w:hAnsi="Times New Roman" w:eastAsia="方正仿宋_GBK" w:cs="Times New Roman"/>
          <w:b/>
          <w:bCs/>
          <w:sz w:val="28"/>
          <w:szCs w:val="28"/>
          <w:lang w:val="zh-CN"/>
        </w:rPr>
      </w:pPr>
      <w:r>
        <w:rPr>
          <w:rFonts w:hint="default" w:ascii="Times New Roman" w:hAnsi="Times New Roman" w:eastAsia="方正仿宋_GBK" w:cs="Times New Roman"/>
          <w:b/>
          <w:bCs/>
          <w:sz w:val="28"/>
          <w:szCs w:val="28"/>
          <w:lang w:val="zh-CN"/>
        </w:rPr>
        <w:t>单位：%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983"/>
        <w:gridCol w:w="1085"/>
        <w:gridCol w:w="824"/>
        <w:gridCol w:w="824"/>
        <w:gridCol w:w="845"/>
        <w:gridCol w:w="1065"/>
        <w:gridCol w:w="82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序号</w:t>
            </w:r>
          </w:p>
        </w:tc>
        <w:tc>
          <w:tcPr>
            <w:tcW w:w="2268"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企业规模</w:t>
            </w:r>
          </w:p>
        </w:tc>
        <w:tc>
          <w:tcPr>
            <w:tcW w:w="1134" w:type="dxa"/>
            <w:gridSpan w:val="7"/>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人工成本构成（%）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9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黑体_GBK" w:hAnsi="方正黑体_GBK" w:eastAsia="方正黑体_GBK" w:cs="方正黑体_GBK"/>
              </w:rPr>
            </w:pPr>
          </w:p>
        </w:tc>
        <w:tc>
          <w:tcPr>
            <w:tcW w:w="9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黑体_GBK" w:hAnsi="方正黑体_GBK" w:eastAsia="方正黑体_GBK" w:cs="方正黑体_GBK"/>
              </w:rPr>
            </w:pPr>
          </w:p>
        </w:tc>
        <w:tc>
          <w:tcPr>
            <w:tcW w:w="1134"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从业人员工资总额</w:t>
            </w:r>
          </w:p>
        </w:tc>
        <w:tc>
          <w:tcPr>
            <w:tcW w:w="85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福利费用</w:t>
            </w:r>
          </w:p>
        </w:tc>
        <w:tc>
          <w:tcPr>
            <w:tcW w:w="85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教育经费</w:t>
            </w:r>
          </w:p>
        </w:tc>
        <w:tc>
          <w:tcPr>
            <w:tcW w:w="85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保险费用</w:t>
            </w:r>
          </w:p>
        </w:tc>
        <w:tc>
          <w:tcPr>
            <w:tcW w:w="1134"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劳动保护费用</w:t>
            </w:r>
          </w:p>
        </w:tc>
        <w:tc>
          <w:tcPr>
            <w:tcW w:w="85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住房费用</w:t>
            </w:r>
          </w:p>
        </w:tc>
        <w:tc>
          <w:tcPr>
            <w:tcW w:w="1134"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其他人工成本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小型企业</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78.41</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3.14</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0.64</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12.27</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1.05</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1.93</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微型企业</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82.68</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3.33</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0.79</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9.28</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0.27</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2.09</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1.56</w:t>
            </w:r>
          </w:p>
        </w:tc>
      </w:tr>
    </w:tbl>
    <w:p>
      <w:pPr>
        <w:keepNext w:val="0"/>
        <w:keepLines w:val="0"/>
        <w:pageBreakBefore w:val="0"/>
        <w:widowControl w:val="0"/>
        <w:kinsoku/>
        <w:wordWrap/>
        <w:overflowPunct/>
        <w:topLinePunct w:val="0"/>
        <w:autoSpaceDE/>
        <w:autoSpaceDN/>
        <w:bidi w:val="0"/>
        <w:spacing w:line="560" w:lineRule="exact"/>
        <w:ind w:left="0" w:right="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　　（三）分登记注册类型的人工成本构成（2023年）</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方正仿宋_GBK" w:cs="Times New Roman"/>
          <w:b/>
          <w:bCs/>
          <w:sz w:val="28"/>
          <w:szCs w:val="28"/>
          <w:lang w:val="zh-CN"/>
        </w:rPr>
      </w:pPr>
      <w:r>
        <w:rPr>
          <w:rFonts w:hint="default" w:ascii="Times New Roman" w:hAnsi="Times New Roman" w:eastAsia="方正仿宋_GBK" w:cs="Times New Roman"/>
          <w:b/>
          <w:bCs/>
          <w:sz w:val="28"/>
          <w:szCs w:val="28"/>
          <w:lang w:val="zh-CN"/>
        </w:rPr>
        <w:t>单位：%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1937"/>
        <w:gridCol w:w="1089"/>
        <w:gridCol w:w="829"/>
        <w:gridCol w:w="829"/>
        <w:gridCol w:w="881"/>
        <w:gridCol w:w="1062"/>
        <w:gridCol w:w="829"/>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序号</w:t>
            </w:r>
          </w:p>
        </w:tc>
        <w:tc>
          <w:tcPr>
            <w:tcW w:w="2268"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登记注册类型</w:t>
            </w:r>
          </w:p>
        </w:tc>
        <w:tc>
          <w:tcPr>
            <w:tcW w:w="1134" w:type="dxa"/>
            <w:gridSpan w:val="7"/>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人工成本构成（%）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黑体_GBK" w:hAnsi="方正黑体_GBK" w:eastAsia="方正黑体_GBK" w:cs="方正黑体_GBK"/>
              </w:rPr>
            </w:pPr>
          </w:p>
        </w:tc>
        <w:tc>
          <w:tcPr>
            <w:tcW w:w="9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黑体_GBK" w:hAnsi="方正黑体_GBK" w:eastAsia="方正黑体_GBK" w:cs="方正黑体_GBK"/>
              </w:rPr>
            </w:pPr>
          </w:p>
        </w:tc>
        <w:tc>
          <w:tcPr>
            <w:tcW w:w="1134"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从业人员工资总额</w:t>
            </w:r>
          </w:p>
        </w:tc>
        <w:tc>
          <w:tcPr>
            <w:tcW w:w="85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福利费用</w:t>
            </w:r>
          </w:p>
        </w:tc>
        <w:tc>
          <w:tcPr>
            <w:tcW w:w="85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教育经费</w:t>
            </w:r>
          </w:p>
        </w:tc>
        <w:tc>
          <w:tcPr>
            <w:tcW w:w="85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保险费用</w:t>
            </w:r>
          </w:p>
        </w:tc>
        <w:tc>
          <w:tcPr>
            <w:tcW w:w="1134"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劳动保护费用</w:t>
            </w:r>
          </w:p>
        </w:tc>
        <w:tc>
          <w:tcPr>
            <w:tcW w:w="85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住房费用</w:t>
            </w:r>
          </w:p>
        </w:tc>
        <w:tc>
          <w:tcPr>
            <w:tcW w:w="1134"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其他人工成本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w:t>
            </w:r>
          </w:p>
        </w:tc>
        <w:tc>
          <w:tcPr>
            <w:tcW w:w="2268"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内资企业</w:t>
            </w:r>
          </w:p>
        </w:tc>
        <w:tc>
          <w:tcPr>
            <w:tcW w:w="113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74.25</w:t>
            </w:r>
          </w:p>
        </w:tc>
        <w:tc>
          <w:tcPr>
            <w:tcW w:w="85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3.91</w:t>
            </w:r>
          </w:p>
        </w:tc>
        <w:tc>
          <w:tcPr>
            <w:tcW w:w="85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0.79</w:t>
            </w:r>
          </w:p>
        </w:tc>
        <w:tc>
          <w:tcPr>
            <w:tcW w:w="85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14.70</w:t>
            </w:r>
          </w:p>
        </w:tc>
        <w:tc>
          <w:tcPr>
            <w:tcW w:w="113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0.77</w:t>
            </w:r>
          </w:p>
        </w:tc>
        <w:tc>
          <w:tcPr>
            <w:tcW w:w="85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3.10</w:t>
            </w:r>
          </w:p>
        </w:tc>
        <w:tc>
          <w:tcPr>
            <w:tcW w:w="113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w:t>
            </w:r>
          </w:p>
        </w:tc>
        <w:tc>
          <w:tcPr>
            <w:tcW w:w="22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有限责任公司</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73.09</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4.11</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0.82</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15.47</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0.83</w:t>
            </w:r>
          </w:p>
        </w:tc>
        <w:tc>
          <w:tcPr>
            <w:tcW w:w="85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3.19</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w:t>
            </w:r>
          </w:p>
        </w:tc>
        <w:tc>
          <w:tcPr>
            <w:tcW w:w="2268"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港澳台投资企业</w:t>
            </w:r>
          </w:p>
        </w:tc>
        <w:tc>
          <w:tcPr>
            <w:tcW w:w="113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75.16</w:t>
            </w:r>
          </w:p>
        </w:tc>
        <w:tc>
          <w:tcPr>
            <w:tcW w:w="85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5.02</w:t>
            </w:r>
          </w:p>
        </w:tc>
        <w:tc>
          <w:tcPr>
            <w:tcW w:w="85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0.45</w:t>
            </w:r>
          </w:p>
        </w:tc>
        <w:tc>
          <w:tcPr>
            <w:tcW w:w="85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17.17</w:t>
            </w:r>
          </w:p>
        </w:tc>
        <w:tc>
          <w:tcPr>
            <w:tcW w:w="113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0.51</w:t>
            </w:r>
          </w:p>
        </w:tc>
        <w:tc>
          <w:tcPr>
            <w:tcW w:w="85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0.71</w:t>
            </w:r>
          </w:p>
        </w:tc>
        <w:tc>
          <w:tcPr>
            <w:tcW w:w="113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w:t>
            </w:r>
          </w:p>
        </w:tc>
        <w:tc>
          <w:tcPr>
            <w:tcW w:w="2268"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外商投资企业</w:t>
            </w:r>
          </w:p>
        </w:tc>
        <w:tc>
          <w:tcPr>
            <w:tcW w:w="113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69.25</w:t>
            </w:r>
          </w:p>
        </w:tc>
        <w:tc>
          <w:tcPr>
            <w:tcW w:w="85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5.93</w:t>
            </w:r>
          </w:p>
        </w:tc>
        <w:tc>
          <w:tcPr>
            <w:tcW w:w="85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0.67</w:t>
            </w:r>
          </w:p>
        </w:tc>
        <w:tc>
          <w:tcPr>
            <w:tcW w:w="85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18.36</w:t>
            </w:r>
          </w:p>
        </w:tc>
        <w:tc>
          <w:tcPr>
            <w:tcW w:w="113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0.91</w:t>
            </w:r>
          </w:p>
        </w:tc>
        <w:tc>
          <w:tcPr>
            <w:tcW w:w="85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3.30</w:t>
            </w:r>
          </w:p>
        </w:tc>
        <w:tc>
          <w:tcPr>
            <w:tcW w:w="113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1.58</w:t>
            </w:r>
          </w:p>
        </w:tc>
      </w:tr>
    </w:tbl>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0" w:firstLineChars="0"/>
        <w:textAlignment w:val="auto"/>
        <w:rPr>
          <w:rFonts w:hint="default" w:ascii="Times New Roman" w:hAnsi="Times New Roman" w:eastAsia="方正黑体_GBK" w:cs="Times New Roman"/>
          <w:b/>
          <w:bCs w:val="0"/>
          <w:szCs w:val="32"/>
        </w:rPr>
      </w:pPr>
      <w:r>
        <w:rPr>
          <w:rFonts w:hint="default" w:ascii="Times New Roman" w:hAnsi="Times New Roman" w:eastAsia="方正黑体_GBK" w:cs="Times New Roman"/>
          <w:b/>
          <w:bCs w:val="0"/>
          <w:szCs w:val="32"/>
          <w:lang w:eastAsia="zh-CN"/>
        </w:rPr>
        <w:t>　　</w:t>
      </w:r>
      <w:r>
        <w:rPr>
          <w:rFonts w:hint="default" w:ascii="Times New Roman" w:hAnsi="Times New Roman" w:eastAsia="方正黑体_GBK" w:cs="Times New Roman"/>
          <w:b/>
          <w:bCs w:val="0"/>
          <w:szCs w:val="32"/>
        </w:rPr>
        <w:t>三、企业人工成本效益</w:t>
      </w:r>
    </w:p>
    <w:p>
      <w:pPr>
        <w:keepNext w:val="0"/>
        <w:keepLines w:val="0"/>
        <w:pageBreakBefore w:val="0"/>
        <w:widowControl w:val="0"/>
        <w:kinsoku/>
        <w:wordWrap/>
        <w:overflowPunct/>
        <w:topLinePunct w:val="0"/>
        <w:autoSpaceDE/>
        <w:autoSpaceDN/>
        <w:bidi w:val="0"/>
        <w:spacing w:line="560" w:lineRule="exact"/>
        <w:ind w:left="0" w:right="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　　（一）分行业门类的人工成本效益（2023年）</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方正仿宋_GBK" w:cs="Times New Roman"/>
          <w:b/>
          <w:bCs/>
          <w:sz w:val="28"/>
          <w:szCs w:val="28"/>
          <w:lang w:val="zh-CN"/>
        </w:rPr>
      </w:pPr>
      <w:r>
        <w:rPr>
          <w:rFonts w:hint="default" w:ascii="Times New Roman" w:hAnsi="Times New Roman" w:eastAsia="方正仿宋_GBK" w:cs="Times New Roman"/>
          <w:b/>
          <w:bCs/>
          <w:sz w:val="28"/>
          <w:szCs w:val="28"/>
          <w:lang w:val="zh-CN"/>
        </w:rPr>
        <w:t>单位：%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2716"/>
        <w:gridCol w:w="1922"/>
        <w:gridCol w:w="1940"/>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序号</w:t>
            </w:r>
          </w:p>
        </w:tc>
        <w:tc>
          <w:tcPr>
            <w:tcW w:w="2716"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行业门类</w:t>
            </w:r>
          </w:p>
        </w:tc>
        <w:tc>
          <w:tcPr>
            <w:tcW w:w="1922"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人事费用率（%）</w:t>
            </w:r>
          </w:p>
        </w:tc>
        <w:tc>
          <w:tcPr>
            <w:tcW w:w="1940"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人工成本利润率（%）</w:t>
            </w:r>
          </w:p>
        </w:tc>
        <w:tc>
          <w:tcPr>
            <w:tcW w:w="1922"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人工成本占总成本比重（%）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w:t>
            </w:r>
          </w:p>
        </w:tc>
        <w:tc>
          <w:tcPr>
            <w:tcW w:w="2716"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全行业</w:t>
            </w:r>
          </w:p>
        </w:tc>
        <w:tc>
          <w:tcPr>
            <w:tcW w:w="1922"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4.48</w:t>
            </w:r>
          </w:p>
        </w:tc>
        <w:tc>
          <w:tcPr>
            <w:tcW w:w="1940"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51.87</w:t>
            </w:r>
          </w:p>
        </w:tc>
        <w:tc>
          <w:tcPr>
            <w:tcW w:w="1922"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w:t>
            </w:r>
          </w:p>
        </w:tc>
        <w:tc>
          <w:tcPr>
            <w:tcW w:w="271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制造业</w:t>
            </w:r>
          </w:p>
        </w:tc>
        <w:tc>
          <w:tcPr>
            <w:tcW w:w="192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10.05</w:t>
            </w:r>
          </w:p>
        </w:tc>
        <w:tc>
          <w:tcPr>
            <w:tcW w:w="19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39.21</w:t>
            </w:r>
          </w:p>
        </w:tc>
        <w:tc>
          <w:tcPr>
            <w:tcW w:w="192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w:t>
            </w:r>
          </w:p>
        </w:tc>
        <w:tc>
          <w:tcPr>
            <w:tcW w:w="271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建筑业</w:t>
            </w:r>
          </w:p>
        </w:tc>
        <w:tc>
          <w:tcPr>
            <w:tcW w:w="192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2.89</w:t>
            </w:r>
          </w:p>
        </w:tc>
        <w:tc>
          <w:tcPr>
            <w:tcW w:w="19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27.34</w:t>
            </w:r>
          </w:p>
        </w:tc>
        <w:tc>
          <w:tcPr>
            <w:tcW w:w="192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w:t>
            </w:r>
          </w:p>
        </w:tc>
        <w:tc>
          <w:tcPr>
            <w:tcW w:w="271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批发和零售业</w:t>
            </w:r>
          </w:p>
        </w:tc>
        <w:tc>
          <w:tcPr>
            <w:tcW w:w="192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5.05</w:t>
            </w:r>
          </w:p>
        </w:tc>
        <w:tc>
          <w:tcPr>
            <w:tcW w:w="19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118.45</w:t>
            </w:r>
          </w:p>
        </w:tc>
        <w:tc>
          <w:tcPr>
            <w:tcW w:w="192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w:t>
            </w:r>
          </w:p>
        </w:tc>
        <w:tc>
          <w:tcPr>
            <w:tcW w:w="271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交通运输、仓储和邮政业</w:t>
            </w:r>
          </w:p>
        </w:tc>
        <w:tc>
          <w:tcPr>
            <w:tcW w:w="192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13.57</w:t>
            </w:r>
          </w:p>
        </w:tc>
        <w:tc>
          <w:tcPr>
            <w:tcW w:w="19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39.84</w:t>
            </w:r>
          </w:p>
        </w:tc>
        <w:tc>
          <w:tcPr>
            <w:tcW w:w="192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w:t>
            </w:r>
          </w:p>
        </w:tc>
        <w:tc>
          <w:tcPr>
            <w:tcW w:w="271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金融业</w:t>
            </w:r>
          </w:p>
        </w:tc>
        <w:tc>
          <w:tcPr>
            <w:tcW w:w="192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14.49</w:t>
            </w:r>
          </w:p>
        </w:tc>
        <w:tc>
          <w:tcPr>
            <w:tcW w:w="19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292.42</w:t>
            </w:r>
          </w:p>
        </w:tc>
        <w:tc>
          <w:tcPr>
            <w:tcW w:w="192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w:t>
            </w:r>
          </w:p>
        </w:tc>
        <w:tc>
          <w:tcPr>
            <w:tcW w:w="271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房地产业</w:t>
            </w:r>
          </w:p>
        </w:tc>
        <w:tc>
          <w:tcPr>
            <w:tcW w:w="192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25.87</w:t>
            </w:r>
          </w:p>
        </w:tc>
        <w:tc>
          <w:tcPr>
            <w:tcW w:w="19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-77.58</w:t>
            </w:r>
          </w:p>
        </w:tc>
        <w:tc>
          <w:tcPr>
            <w:tcW w:w="192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8</w:t>
            </w:r>
          </w:p>
        </w:tc>
        <w:tc>
          <w:tcPr>
            <w:tcW w:w="271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租赁和商务服务业</w:t>
            </w:r>
          </w:p>
        </w:tc>
        <w:tc>
          <w:tcPr>
            <w:tcW w:w="192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5.11</w:t>
            </w:r>
          </w:p>
        </w:tc>
        <w:tc>
          <w:tcPr>
            <w:tcW w:w="19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-16.06</w:t>
            </w:r>
          </w:p>
        </w:tc>
        <w:tc>
          <w:tcPr>
            <w:tcW w:w="192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9</w:t>
            </w:r>
          </w:p>
        </w:tc>
        <w:tc>
          <w:tcPr>
            <w:tcW w:w="271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文化、体育和娱乐业</w:t>
            </w:r>
          </w:p>
        </w:tc>
        <w:tc>
          <w:tcPr>
            <w:tcW w:w="192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34.04</w:t>
            </w:r>
          </w:p>
        </w:tc>
        <w:tc>
          <w:tcPr>
            <w:tcW w:w="19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5.59</w:t>
            </w:r>
          </w:p>
        </w:tc>
        <w:tc>
          <w:tcPr>
            <w:tcW w:w="192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39.14</w:t>
            </w:r>
          </w:p>
        </w:tc>
      </w:tr>
    </w:tbl>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　　（二）分企业规模的人工成本效益（2023年）</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方正仿宋_GBK" w:cs="Times New Roman"/>
          <w:b/>
          <w:bCs/>
          <w:sz w:val="28"/>
          <w:szCs w:val="28"/>
          <w:lang w:val="zh-CN"/>
        </w:rPr>
      </w:pPr>
      <w:r>
        <w:rPr>
          <w:rFonts w:hint="default" w:ascii="Times New Roman" w:hAnsi="Times New Roman" w:eastAsia="方正仿宋_GBK" w:cs="Times New Roman"/>
          <w:b/>
          <w:bCs/>
          <w:sz w:val="28"/>
          <w:szCs w:val="28"/>
          <w:lang w:val="zh-CN"/>
        </w:rPr>
        <w:t>单位：%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2718"/>
        <w:gridCol w:w="1928"/>
        <w:gridCol w:w="1928"/>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序号</w:t>
            </w:r>
          </w:p>
        </w:tc>
        <w:tc>
          <w:tcPr>
            <w:tcW w:w="2835"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企业规模</w:t>
            </w:r>
          </w:p>
        </w:tc>
        <w:tc>
          <w:tcPr>
            <w:tcW w:w="1984"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人事费用率（%）</w:t>
            </w:r>
          </w:p>
        </w:tc>
        <w:tc>
          <w:tcPr>
            <w:tcW w:w="1984"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人工成本利润率（%）</w:t>
            </w:r>
          </w:p>
        </w:tc>
        <w:tc>
          <w:tcPr>
            <w:tcW w:w="1984"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人工成本占总成本比重（%）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w:t>
            </w:r>
          </w:p>
        </w:tc>
        <w:tc>
          <w:tcPr>
            <w:tcW w:w="28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小型企业</w:t>
            </w:r>
          </w:p>
        </w:tc>
        <w:tc>
          <w:tcPr>
            <w:tcW w:w="198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10.94</w:t>
            </w:r>
          </w:p>
        </w:tc>
        <w:tc>
          <w:tcPr>
            <w:tcW w:w="198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55.88</w:t>
            </w:r>
          </w:p>
        </w:tc>
        <w:tc>
          <w:tcPr>
            <w:tcW w:w="198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w:t>
            </w:r>
          </w:p>
        </w:tc>
        <w:tc>
          <w:tcPr>
            <w:tcW w:w="28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微型企业</w:t>
            </w:r>
          </w:p>
        </w:tc>
        <w:tc>
          <w:tcPr>
            <w:tcW w:w="198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32.02</w:t>
            </w:r>
          </w:p>
        </w:tc>
        <w:tc>
          <w:tcPr>
            <w:tcW w:w="198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-6.22</w:t>
            </w:r>
          </w:p>
        </w:tc>
        <w:tc>
          <w:tcPr>
            <w:tcW w:w="198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51.18</w:t>
            </w:r>
          </w:p>
        </w:tc>
      </w:tr>
    </w:tbl>
    <w:p>
      <w:pPr>
        <w:keepNext w:val="0"/>
        <w:keepLines w:val="0"/>
        <w:pageBreakBefore w:val="0"/>
        <w:widowControl w:val="0"/>
        <w:kinsoku/>
        <w:wordWrap/>
        <w:overflowPunct/>
        <w:topLinePunct w:val="0"/>
        <w:autoSpaceDE/>
        <w:autoSpaceDN/>
        <w:bidi w:val="0"/>
        <w:spacing w:line="560" w:lineRule="exact"/>
        <w:ind w:left="0" w:right="0"/>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　　（三）分登记注册类型的人工成本效益（2023年）</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方正仿宋_GBK" w:cs="Times New Roman"/>
          <w:b/>
          <w:bCs/>
          <w:sz w:val="28"/>
          <w:szCs w:val="28"/>
          <w:lang w:val="zh-CN"/>
        </w:rPr>
      </w:pPr>
      <w:r>
        <w:rPr>
          <w:rFonts w:hint="default" w:ascii="Times New Roman" w:hAnsi="Times New Roman" w:eastAsia="方正仿宋_GBK" w:cs="Times New Roman"/>
          <w:b/>
          <w:bCs/>
          <w:sz w:val="28"/>
          <w:szCs w:val="28"/>
          <w:lang w:val="zh-CN"/>
        </w:rPr>
        <w:t>单位：%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2711"/>
        <w:gridCol w:w="1927"/>
        <w:gridCol w:w="1935"/>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序号</w:t>
            </w:r>
          </w:p>
        </w:tc>
        <w:tc>
          <w:tcPr>
            <w:tcW w:w="2835"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登记注册类型</w:t>
            </w:r>
          </w:p>
        </w:tc>
        <w:tc>
          <w:tcPr>
            <w:tcW w:w="1984"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人事费用率（%）</w:t>
            </w:r>
          </w:p>
        </w:tc>
        <w:tc>
          <w:tcPr>
            <w:tcW w:w="1984"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人工成本利润率（%）</w:t>
            </w:r>
          </w:p>
        </w:tc>
        <w:tc>
          <w:tcPr>
            <w:tcW w:w="1984"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color w:val="FFFFFF"/>
              </w:rPr>
              <w:t>人工成本占总成本比重（%）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w:t>
            </w:r>
          </w:p>
        </w:tc>
        <w:tc>
          <w:tcPr>
            <w:tcW w:w="2835"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内资企业</w:t>
            </w:r>
          </w:p>
        </w:tc>
        <w:tc>
          <w:tcPr>
            <w:tcW w:w="198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4.38</w:t>
            </w:r>
          </w:p>
        </w:tc>
        <w:tc>
          <w:tcPr>
            <w:tcW w:w="198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50.06</w:t>
            </w:r>
          </w:p>
        </w:tc>
        <w:tc>
          <w:tcPr>
            <w:tcW w:w="198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2</w:t>
            </w:r>
          </w:p>
        </w:tc>
        <w:tc>
          <w:tcPr>
            <w:tcW w:w="28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有限责任公司</w:t>
            </w:r>
          </w:p>
        </w:tc>
        <w:tc>
          <w:tcPr>
            <w:tcW w:w="198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3.96</w:t>
            </w:r>
          </w:p>
        </w:tc>
        <w:tc>
          <w:tcPr>
            <w:tcW w:w="198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45.19</w:t>
            </w:r>
          </w:p>
        </w:tc>
        <w:tc>
          <w:tcPr>
            <w:tcW w:w="198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w:t>
            </w:r>
          </w:p>
        </w:tc>
        <w:tc>
          <w:tcPr>
            <w:tcW w:w="2835"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港澳台投资企业</w:t>
            </w:r>
          </w:p>
        </w:tc>
        <w:tc>
          <w:tcPr>
            <w:tcW w:w="198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11.01</w:t>
            </w:r>
          </w:p>
        </w:tc>
        <w:tc>
          <w:tcPr>
            <w:tcW w:w="198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52.57</w:t>
            </w:r>
          </w:p>
        </w:tc>
        <w:tc>
          <w:tcPr>
            <w:tcW w:w="198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4</w:t>
            </w:r>
          </w:p>
        </w:tc>
        <w:tc>
          <w:tcPr>
            <w:tcW w:w="2835"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外商投资企业</w:t>
            </w:r>
          </w:p>
        </w:tc>
        <w:tc>
          <w:tcPr>
            <w:tcW w:w="198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14.23</w:t>
            </w:r>
          </w:p>
        </w:tc>
        <w:tc>
          <w:tcPr>
            <w:tcW w:w="198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164.55</w:t>
            </w:r>
          </w:p>
        </w:tc>
        <w:tc>
          <w:tcPr>
            <w:tcW w:w="1984" w:type="dxa"/>
            <w:shd w:val="clear" w:color="auto" w:fill="DBDBDB"/>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eastAsia="仿宋" w:cs="Times New Roman"/>
                <w:b/>
                <w:color w:val="000000"/>
              </w:rPr>
              <w:t>38.96</w:t>
            </w:r>
          </w:p>
        </w:tc>
      </w:tr>
      <w:bookmarkEnd w:id="6"/>
      <w:bookmarkEnd w:id="7"/>
      <w:bookmarkEnd w:id="8"/>
    </w:tbl>
    <w:p>
      <w:pPr>
        <w:ind w:firstLine="0" w:firstLineChars="0"/>
        <w:rPr>
          <w:rFonts w:hint="default" w:ascii="Times New Roman" w:hAnsi="Times New Roman" w:eastAsia="方正仿宋_GBK" w:cs="Times New Roman"/>
          <w:b/>
          <w:sz w:val="32"/>
          <w:szCs w:val="32"/>
        </w:rPr>
      </w:pPr>
    </w:p>
    <w:p>
      <w:pPr>
        <w:ind w:firstLine="0" w:firstLineChars="0"/>
        <w:rPr>
          <w:rFonts w:hint="default" w:ascii="Times New Roman" w:hAnsi="Times New Roman" w:eastAsia="方正仿宋_GBK" w:cs="Times New Roman"/>
          <w:b/>
          <w:sz w:val="32"/>
          <w:szCs w:val="32"/>
        </w:rPr>
      </w:pPr>
    </w:p>
    <w:p>
      <w:pPr>
        <w:ind w:firstLine="0" w:firstLineChars="0"/>
        <w:rPr>
          <w:rFonts w:hint="default" w:ascii="Times New Roman" w:hAnsi="Times New Roman" w:eastAsia="方正仿宋_GBK" w:cs="Times New Roman"/>
          <w:b/>
          <w:sz w:val="32"/>
          <w:szCs w:val="32"/>
        </w:rPr>
      </w:pPr>
    </w:p>
    <w:p>
      <w:pPr>
        <w:ind w:firstLine="0" w:firstLineChars="0"/>
        <w:rPr>
          <w:rFonts w:hint="default" w:ascii="Times New Roman" w:hAnsi="Times New Roman" w:eastAsia="方正仿宋_GBK" w:cs="Times New Roman"/>
          <w:b/>
          <w:sz w:val="32"/>
          <w:szCs w:val="32"/>
        </w:rPr>
      </w:pPr>
    </w:p>
    <w:p>
      <w:pPr>
        <w:ind w:firstLine="0" w:firstLineChars="0"/>
        <w:rPr>
          <w:rFonts w:hint="default" w:ascii="Times New Roman" w:hAnsi="Times New Roman" w:eastAsia="方正仿宋_GBK" w:cs="Times New Roman"/>
          <w:b/>
          <w:sz w:val="32"/>
          <w:szCs w:val="32"/>
        </w:rPr>
      </w:pPr>
    </w:p>
    <w:p>
      <w:pPr>
        <w:ind w:firstLine="0" w:firstLineChars="0"/>
        <w:rPr>
          <w:rFonts w:hint="default" w:ascii="Times New Roman" w:hAnsi="Times New Roman" w:eastAsia="方正仿宋_GBK" w:cs="Times New Roman"/>
          <w:b/>
          <w:sz w:val="32"/>
          <w:szCs w:val="32"/>
        </w:rPr>
      </w:pPr>
    </w:p>
    <w:p>
      <w:pPr>
        <w:ind w:firstLine="0" w:firstLineChars="0"/>
        <w:rPr>
          <w:rFonts w:hint="default" w:ascii="Times New Roman" w:hAnsi="Times New Roman" w:eastAsia="方正仿宋_GBK" w:cs="Times New Roman"/>
          <w:b/>
          <w:sz w:val="32"/>
          <w:szCs w:val="32"/>
        </w:rPr>
      </w:pP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附注：</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1.主要统计指标解释</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分位值：指将数据由低到高排序，在数列中处于相应百分比位置的数据。它表示有相应比例的数据低于或等于该数值。</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工资价位：指企业从业人员在报告期内的工资水平，包括基本工资、奖金、津贴和补贴、加班加点工资和特殊情况下支付的工资等。它在一定程度上体现了劳动力市场价格水平。</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企业从业人员：指在本企业工作并取得劳动报酬的人员。</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职业：指从业人员为获取主要生活来源所从事的社会工作类别。</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管理岗位等级：指在管理岗位工作的人员在本企业岗位序列中的层级位置，包括高层管理岗、中层管理岗、基层管理岗和管理类员工岗。其中，高层管理岗是指处于企业最高领导层的岗位，包括董事长、总经理及副职等同级别的高层负责人；中层管理岗是指在企业一级部门或内设机构处于领导层的岗位，包括人力资源部门负责人、研发部门负责人等部门主要负责人及副职等同级别的中层负责人；基层管理岗是指在企业二级及以下部门或机构处于领导层的岗位，包括二级及以下部门/机构主要负责人及副职等同级别的基层负责人；管理类员工岗是指处于企业管理执行层的普通员工岗位。</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专业技术岗位等级：指获得国家或专业评审机构认可的专业技术职称等级，包括高级职称、中级职称、初级职称。</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职业技能岗位等级：指按国家职业技能标准或行业企业评价规范设置的职业技能等级，包括初级技能、中级技能、高级技能及以上。</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人工成本水平：指企业在生产、经营和提供劳务活动中因使用劳动力而发生的所有直接和间接费用的总和，包括从业人员劳动报酬、福利费用、教育经费、社会保险费用、劳动保护费用、住房费用和其他人工成本。它反映企业在报告期内因使用各种人力资源所付出的全部成本费用。</w:t>
      </w:r>
    </w:p>
    <w:p>
      <w:pPr>
        <w:ind w:firstLine="0" w:firstLineChars="0"/>
        <w:rPr>
          <w:rFonts w:hint="default" w:ascii="Times New Roman" w:hAnsi="Times New Roman" w:eastAsia="方正仿宋_GBK" w:cs="Times New Roman"/>
          <w:b/>
          <w:sz w:val="32"/>
          <w:szCs w:val="32"/>
          <w:lang w:val="zh-CN"/>
        </w:rPr>
      </w:pPr>
      <w:r>
        <w:rPr>
          <w:rFonts w:hint="default" w:ascii="Times New Roman" w:hAnsi="Times New Roman" w:eastAsia="方正仿宋_GBK" w:cs="Times New Roman"/>
          <w:b/>
          <w:sz w:val="32"/>
          <w:szCs w:val="32"/>
          <w:lang w:val="zh-CN"/>
        </w:rPr>
        <w:t>　　劳动报酬（工资总额）</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sz w:val="32"/>
          <w:szCs w:val="32"/>
          <w:lang w:val="zh-CN"/>
        </w:rPr>
        <w:t>是指企业在报告期内直接支付给本企业全部就业人员的劳动报酬总额。工资总额包括计时工资、计件工资、奖金、津贴和补贴、加班加点工资、特殊情况下支付的工资，是在岗职工工资总额、劳务派遣人员工资总额和其他就业人员工资总额之和。</w:t>
      </w:r>
    </w:p>
    <w:p>
      <w:pPr>
        <w:ind w:firstLine="0" w:firstLineChars="0"/>
        <w:rPr>
          <w:rFonts w:hint="default" w:ascii="Times New Roman" w:hAnsi="Times New Roman" w:eastAsia="方正仿宋_GBK" w:cs="Times New Roman"/>
          <w:b/>
          <w:sz w:val="32"/>
          <w:szCs w:val="32"/>
          <w:lang w:val="zh-CN"/>
        </w:rPr>
      </w:pPr>
      <w:r>
        <w:rPr>
          <w:rFonts w:hint="default" w:ascii="Times New Roman" w:hAnsi="Times New Roman" w:eastAsia="方正仿宋_GBK" w:cs="Times New Roman"/>
          <w:b/>
          <w:sz w:val="32"/>
          <w:szCs w:val="32"/>
          <w:lang w:val="zh-CN"/>
        </w:rPr>
        <w:t>　　福利费用</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sz w:val="32"/>
          <w:szCs w:val="32"/>
          <w:lang w:val="zh-CN"/>
        </w:rPr>
        <w:t>是指企业在工资以外实际支付给从业人员个人以及用于集体的福利费用的总称。主要包括企业支付给从业人员的冬季取暖补贴费（也包括企业实际支付给享受集体供暖的从业人员个人的部分）、医疗卫生费、计划生育补贴、生活困难补助、文体宣传费、集体福利设施和集体福利事业补贴费（包括集体、生活福利设施，如职工食堂、托儿所、幼儿园、浴室、理发室、妇女卫生室、医务室等，以及文化福利设施如文化宫、俱乐部、青少年宫、图书室、体育场、游泳池、职工之家、老年人活动中心等）及丧葬抚恤救济费、职工因工负伤赴外地就医路费、物业管理费、上下班交通补贴等。</w:t>
      </w:r>
    </w:p>
    <w:p>
      <w:pPr>
        <w:ind w:firstLine="0" w:firstLineChars="0"/>
        <w:rPr>
          <w:rFonts w:hint="default" w:ascii="Times New Roman" w:hAnsi="Times New Roman" w:eastAsia="方正仿宋_GBK" w:cs="Times New Roman"/>
          <w:b/>
          <w:sz w:val="32"/>
          <w:szCs w:val="32"/>
          <w:lang w:val="zh-CN"/>
        </w:rPr>
      </w:pPr>
      <w:r>
        <w:rPr>
          <w:rFonts w:hint="default" w:ascii="Times New Roman" w:hAnsi="Times New Roman" w:eastAsia="方正仿宋_GBK" w:cs="Times New Roman"/>
          <w:b/>
          <w:sz w:val="32"/>
          <w:szCs w:val="32"/>
          <w:lang w:val="zh-CN"/>
        </w:rPr>
        <w:t>　　教育经费</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sz w:val="32"/>
          <w:szCs w:val="32"/>
          <w:lang w:val="zh-CN"/>
        </w:rPr>
        <w:t>是指企业为职工学习先进技术和提高文化水平而支付的费用。包括岗前培训、在职提高培训、转岗培训、派外培训、职业道德等方面的培训费用和企业自办大中专、职业技术院校等培训场所发生的费用以及职业技能鉴定费用。</w:t>
      </w:r>
    </w:p>
    <w:p>
      <w:pPr>
        <w:ind w:firstLine="0" w:firstLineChars="0"/>
        <w:rPr>
          <w:rFonts w:hint="default" w:ascii="Times New Roman" w:hAnsi="Times New Roman" w:eastAsia="方正仿宋_GBK" w:cs="Times New Roman"/>
          <w:b/>
          <w:sz w:val="32"/>
          <w:szCs w:val="32"/>
          <w:lang w:val="zh-CN"/>
        </w:rPr>
      </w:pPr>
      <w:r>
        <w:rPr>
          <w:rFonts w:hint="default" w:ascii="Times New Roman" w:hAnsi="Times New Roman" w:eastAsia="方正仿宋_GBK" w:cs="Times New Roman"/>
          <w:b/>
          <w:sz w:val="32"/>
          <w:szCs w:val="32"/>
          <w:lang w:val="zh-CN"/>
        </w:rPr>
        <w:t>　　社会保险费用</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sz w:val="32"/>
          <w:szCs w:val="32"/>
          <w:lang w:val="zh-CN"/>
        </w:rPr>
        <w:t>是指根据国家法律，由企业承担的各项社会保险费用和补充保险费用，包括养老保险、医疗保险、失业保险、工伤保险、生育保险等费用，也包括企业缴纳的年金（补充养老保险）、补充医疗保险或储蓄性医疗保险。不包括不在岗人员的社会保险费用。</w:t>
      </w:r>
    </w:p>
    <w:p>
      <w:pPr>
        <w:ind w:firstLine="0" w:firstLineChars="0"/>
        <w:rPr>
          <w:rFonts w:hint="default" w:ascii="Times New Roman" w:hAnsi="Times New Roman" w:eastAsia="方正仿宋_GBK" w:cs="Times New Roman"/>
          <w:b/>
          <w:sz w:val="32"/>
          <w:szCs w:val="32"/>
          <w:lang w:val="zh-CN"/>
        </w:rPr>
      </w:pPr>
      <w:r>
        <w:rPr>
          <w:rFonts w:hint="default" w:ascii="Times New Roman" w:hAnsi="Times New Roman" w:eastAsia="方正仿宋_GBK" w:cs="Times New Roman"/>
          <w:b/>
          <w:sz w:val="32"/>
          <w:szCs w:val="32"/>
          <w:lang w:val="zh-CN"/>
        </w:rPr>
        <w:t>　　劳动保护费用</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sz w:val="32"/>
          <w:szCs w:val="32"/>
          <w:lang w:val="zh-CN"/>
        </w:rPr>
        <w:t>是指企业为实施安全技术措施、工业卫生等发生的费用，以及用于职工劳动保护用品（如保健用品、清凉用品、工作服等）的费用。不包括劳动保护设备的购置费、维修费以及个人只能在工作现场使用的特殊用品。</w:t>
      </w:r>
    </w:p>
    <w:p>
      <w:pPr>
        <w:ind w:firstLine="0" w:firstLineChars="0"/>
        <w:rPr>
          <w:rFonts w:hint="default" w:ascii="Times New Roman" w:hAnsi="Times New Roman" w:eastAsia="方正仿宋_GBK" w:cs="Times New Roman"/>
          <w:b/>
          <w:sz w:val="32"/>
          <w:szCs w:val="32"/>
          <w:lang w:val="zh-CN"/>
        </w:rPr>
      </w:pPr>
      <w:r>
        <w:rPr>
          <w:rFonts w:hint="default" w:ascii="Times New Roman" w:hAnsi="Times New Roman" w:eastAsia="方正仿宋_GBK" w:cs="Times New Roman"/>
          <w:b/>
          <w:sz w:val="32"/>
          <w:szCs w:val="32"/>
          <w:lang w:val="zh-CN"/>
        </w:rPr>
        <w:t>　　住房费用</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sz w:val="32"/>
          <w:szCs w:val="32"/>
          <w:lang w:val="zh-CN"/>
        </w:rPr>
        <w:t>是指企业为改善从业人员的居住条件而支付的所有费用。具体包括职工宿舍的折旧费、企业交纳的住房公积金、实际支付给职工的住房补贴（包括为职工租用房屋的租金、租房差价补贴、购房差价补贴等）和按规定为职工提供的住房困难补助及企业住房的维修费和管理费等。</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val="zh-CN"/>
        </w:rPr>
        <w:t>　　其他人工成本</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sz w:val="32"/>
          <w:szCs w:val="32"/>
          <w:lang w:val="zh-CN"/>
        </w:rPr>
        <w:t>是指不包括在以上各项中的其他人工成本项目。包括工会经费，企业因招聘职工而实际花费的职工招聘费、咨询费、外聘人员劳务费，对职工的特殊奖励（如创造发明奖、科技进步奖等）、支付实行租赁、承租经营企业的承租人、承包人的风险补偿费等，解除劳动合同或终止劳动合同的补偿费用以及企业因使用劳务派遣人员而发生的管理费用和其它用工成本等。</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人工成本占总成本的比重：指企业人工成本占企业总成本的比重，用于确定人工费用定额。</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人事费用率：指调查时期内企业人工成本总额与销售收入总额的比率，反映的是企业生产和销售的总价值中用于支付人工成本部分所占的比例。</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人工成本利润率：指调查时期内企业利润总额与人工成本总额的比率，反映的是企业单位人工成本取得的经济效益。</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2.行业划分标准</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本调查的行业按照《国民经济行业分类》（GB/T 4754—2017）的行业门类划分。</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3.企业规模划分标准</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本调查的企业规模按照国家统计局关于印发的《统计上大中小微型企业划分办法（2017）》和《关于印发金融业企业划型标准规定的通知》（银发〔2015〕309）号划分，包括大型、中型、小型、微型规模。上述两个《办法》中未明确标准的3个行业此次调查时暂不填写规模，包括G53（铁路运输业）、P83（教育）、Q84（卫生）。</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4.职业划分标准</w:t>
      </w:r>
    </w:p>
    <w:p>
      <w:pPr>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b/>
          <w:sz w:val="32"/>
          <w:szCs w:val="32"/>
        </w:rPr>
        <w:t>本调查的职业按《中华人民共和国职业分类大典（2022年版）》的职业大类、职业中类、职业小类、职业细类划分。</w:t>
      </w:r>
    </w:p>
    <w:p>
      <w:pPr>
        <w:bidi w:val="0"/>
        <w:rPr>
          <w:rFonts w:hint="default"/>
          <w:lang w:val="en-US" w:eastAsia="zh-CN"/>
        </w:rPr>
      </w:pPr>
      <w:bookmarkStart w:id="9" w:name="_GoBack"/>
      <w:bookmarkEnd w:id="9"/>
    </w:p>
    <w:sectPr>
      <w:headerReference r:id="rId3" w:type="default"/>
      <w:footerReference r:id="rId5" w:type="default"/>
      <w:headerReference r:id="rId4" w:type="even"/>
      <w:footerReference r:id="rId6" w:type="even"/>
      <w:pgSz w:w="11906" w:h="16838"/>
      <w:pgMar w:top="2098" w:right="1474" w:bottom="1984" w:left="1587" w:header="851" w:footer="1417"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等线">
    <w:altName w:val="汉仪旗黑-55"/>
    <w:panose1 w:val="00000000000000000000"/>
    <w:charset w:val="00"/>
    <w:family w:val="auto"/>
    <w:pitch w:val="default"/>
    <w:sig w:usb0="00000000" w:usb1="00000000" w:usb2="00000000" w:usb3="00000000" w:csb0="00000000" w:csb1="00000000"/>
  </w:font>
  <w:font w:name="汉仪旗黑-55">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00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pPr>
                          <w:r>
                            <w:rPr>
                              <w:rFonts w:hint="default" w:ascii="Times New Roman" w:hAnsi="Times New Roman" w:eastAsia="宋体" w:cs="Times New Roman"/>
                              <w:b/>
                              <w:bCs/>
                              <w:sz w:val="28"/>
                              <w:szCs w:val="28"/>
                            </w:rPr>
                            <w:t xml:space="preserve">— </w:t>
                          </w: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PAGE  \* MERGEFORMAT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1</w:t>
                          </w:r>
                          <w:r>
                            <w:rPr>
                              <w:rFonts w:hint="default" w:ascii="Times New Roman" w:hAnsi="Times New Roman" w:eastAsia="宋体" w:cs="Times New Roman"/>
                              <w:b/>
                              <w:bCs/>
                              <w:sz w:val="28"/>
                              <w:szCs w:val="28"/>
                            </w:rPr>
                            <w:fldChar w:fldCharType="end"/>
                          </w:r>
                          <w:r>
                            <w:rPr>
                              <w:rFonts w:hint="default" w:ascii="Times New Roman" w:hAnsi="Times New Roman" w:eastAsia="宋体" w:cs="Times New Roman"/>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AayECjVAAAABwEAAA8AAAAAAAAAAQAgAAAA&#10;OAAAAGRycy9kb3ducmV2LnhtbFBLAQIUABQAAAAIAIdO4kBrhfn7MQIAAGEEAAAOAAAAAAAAAAEA&#10;IAAAADoBAABkcnMvZTJvRG9jLnhtbFBLBQYAAAAABgAGAFkBAADd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pPr>
                    <w:r>
                      <w:rPr>
                        <w:rFonts w:hint="default" w:ascii="Times New Roman" w:hAnsi="Times New Roman" w:eastAsia="宋体" w:cs="Times New Roman"/>
                        <w:b/>
                        <w:bCs/>
                        <w:sz w:val="28"/>
                        <w:szCs w:val="28"/>
                      </w:rPr>
                      <w:t xml:space="preserve">— </w:t>
                    </w: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PAGE  \* MERGEFORMAT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1</w:t>
                    </w:r>
                    <w:r>
                      <w:rPr>
                        <w:rFonts w:hint="default" w:ascii="Times New Roman" w:hAnsi="Times New Roman" w:eastAsia="宋体" w:cs="Times New Roman"/>
                        <w:b/>
                        <w:bCs/>
                        <w:sz w:val="28"/>
                        <w:szCs w:val="28"/>
                      </w:rPr>
                      <w:fldChar w:fldCharType="end"/>
                    </w:r>
                    <w:r>
                      <w:rPr>
                        <w:rFonts w:hint="default" w:ascii="Times New Roman" w:hAnsi="Times New Roman" w:eastAsia="宋体" w:cs="Times New Roman"/>
                        <w:b/>
                        <w:bCs/>
                        <w:sz w:val="28"/>
                        <w:szCs w:val="28"/>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hNGJlZTMwMmUyZDRhOGU2ZWMxMjk2ZDVhNTk4ODMifQ=="/>
  </w:docVars>
  <w:rsids>
    <w:rsidRoot w:val="001D7BE2"/>
    <w:rsid w:val="00001E2F"/>
    <w:rsid w:val="00033693"/>
    <w:rsid w:val="000352A6"/>
    <w:rsid w:val="00047CB2"/>
    <w:rsid w:val="00097082"/>
    <w:rsid w:val="000B2F74"/>
    <w:rsid w:val="000C2791"/>
    <w:rsid w:val="000E6796"/>
    <w:rsid w:val="000F66AF"/>
    <w:rsid w:val="0014529C"/>
    <w:rsid w:val="00192720"/>
    <w:rsid w:val="001D76B4"/>
    <w:rsid w:val="001D7BE2"/>
    <w:rsid w:val="00245F6B"/>
    <w:rsid w:val="00272E89"/>
    <w:rsid w:val="00273036"/>
    <w:rsid w:val="002B3E94"/>
    <w:rsid w:val="002C5986"/>
    <w:rsid w:val="002F75A1"/>
    <w:rsid w:val="00311E1A"/>
    <w:rsid w:val="003448B5"/>
    <w:rsid w:val="003557A2"/>
    <w:rsid w:val="00366B5F"/>
    <w:rsid w:val="00396228"/>
    <w:rsid w:val="003A2E01"/>
    <w:rsid w:val="003B108E"/>
    <w:rsid w:val="003D7402"/>
    <w:rsid w:val="003F2CC8"/>
    <w:rsid w:val="00415B61"/>
    <w:rsid w:val="004D4BD1"/>
    <w:rsid w:val="00562A5B"/>
    <w:rsid w:val="005630DC"/>
    <w:rsid w:val="005737A5"/>
    <w:rsid w:val="005D65FD"/>
    <w:rsid w:val="005E740E"/>
    <w:rsid w:val="0061070A"/>
    <w:rsid w:val="00621D52"/>
    <w:rsid w:val="0067356C"/>
    <w:rsid w:val="00674898"/>
    <w:rsid w:val="00684E85"/>
    <w:rsid w:val="006C3FD4"/>
    <w:rsid w:val="006D6452"/>
    <w:rsid w:val="006F2DA3"/>
    <w:rsid w:val="007033DC"/>
    <w:rsid w:val="00731406"/>
    <w:rsid w:val="007342D7"/>
    <w:rsid w:val="007A53AB"/>
    <w:rsid w:val="007A703E"/>
    <w:rsid w:val="007B360C"/>
    <w:rsid w:val="007B4418"/>
    <w:rsid w:val="007E15ED"/>
    <w:rsid w:val="00803148"/>
    <w:rsid w:val="00840B50"/>
    <w:rsid w:val="008524B5"/>
    <w:rsid w:val="00875E8D"/>
    <w:rsid w:val="00886266"/>
    <w:rsid w:val="008A5C18"/>
    <w:rsid w:val="008B5614"/>
    <w:rsid w:val="00925421"/>
    <w:rsid w:val="00955C92"/>
    <w:rsid w:val="00955FE5"/>
    <w:rsid w:val="009A4E1A"/>
    <w:rsid w:val="009D53DB"/>
    <w:rsid w:val="009E1EAA"/>
    <w:rsid w:val="00A03C67"/>
    <w:rsid w:val="00A26CFB"/>
    <w:rsid w:val="00A71918"/>
    <w:rsid w:val="00AF5BF3"/>
    <w:rsid w:val="00B0625E"/>
    <w:rsid w:val="00B153D3"/>
    <w:rsid w:val="00B26E3C"/>
    <w:rsid w:val="00B520E8"/>
    <w:rsid w:val="00B7497B"/>
    <w:rsid w:val="00BA1E7A"/>
    <w:rsid w:val="00BB2276"/>
    <w:rsid w:val="00BC785B"/>
    <w:rsid w:val="00BE3651"/>
    <w:rsid w:val="00C01BF4"/>
    <w:rsid w:val="00C043A5"/>
    <w:rsid w:val="00C0506F"/>
    <w:rsid w:val="00C15A7A"/>
    <w:rsid w:val="00C3118F"/>
    <w:rsid w:val="00C32FCA"/>
    <w:rsid w:val="00C43D35"/>
    <w:rsid w:val="00CC15A7"/>
    <w:rsid w:val="00CC5119"/>
    <w:rsid w:val="00CD5259"/>
    <w:rsid w:val="00CD629C"/>
    <w:rsid w:val="00D26B6B"/>
    <w:rsid w:val="00D409E6"/>
    <w:rsid w:val="00D9247A"/>
    <w:rsid w:val="00D94A52"/>
    <w:rsid w:val="00E10419"/>
    <w:rsid w:val="00E21895"/>
    <w:rsid w:val="00E51777"/>
    <w:rsid w:val="00E70CF6"/>
    <w:rsid w:val="00E760A1"/>
    <w:rsid w:val="00E92C3D"/>
    <w:rsid w:val="00EA5B1E"/>
    <w:rsid w:val="00EB0F08"/>
    <w:rsid w:val="00EF1931"/>
    <w:rsid w:val="00EF7A7A"/>
    <w:rsid w:val="00F02C11"/>
    <w:rsid w:val="00F31684"/>
    <w:rsid w:val="00F44F5D"/>
    <w:rsid w:val="00F6354B"/>
    <w:rsid w:val="00F664E2"/>
    <w:rsid w:val="00F84D66"/>
    <w:rsid w:val="00FB555A"/>
    <w:rsid w:val="00FC43A2"/>
    <w:rsid w:val="00FE7EC6"/>
    <w:rsid w:val="011E0236"/>
    <w:rsid w:val="02274EC8"/>
    <w:rsid w:val="02DB6B5E"/>
    <w:rsid w:val="030967B4"/>
    <w:rsid w:val="046E7D42"/>
    <w:rsid w:val="062F07EF"/>
    <w:rsid w:val="068F3712"/>
    <w:rsid w:val="07A74C37"/>
    <w:rsid w:val="08653689"/>
    <w:rsid w:val="087D1CE6"/>
    <w:rsid w:val="0AC41E4E"/>
    <w:rsid w:val="0C1B4F00"/>
    <w:rsid w:val="0CE0694D"/>
    <w:rsid w:val="0CEB7EF6"/>
    <w:rsid w:val="0D1C1591"/>
    <w:rsid w:val="0D937C2E"/>
    <w:rsid w:val="0E245572"/>
    <w:rsid w:val="0E9D4822"/>
    <w:rsid w:val="0EE03360"/>
    <w:rsid w:val="0F157555"/>
    <w:rsid w:val="0F9718DF"/>
    <w:rsid w:val="12816920"/>
    <w:rsid w:val="143C04F4"/>
    <w:rsid w:val="1468610E"/>
    <w:rsid w:val="148B5BC8"/>
    <w:rsid w:val="15FD01CE"/>
    <w:rsid w:val="173C01B1"/>
    <w:rsid w:val="186C7681"/>
    <w:rsid w:val="1A2F216B"/>
    <w:rsid w:val="1A6945C9"/>
    <w:rsid w:val="1D4442EC"/>
    <w:rsid w:val="1DFC7B67"/>
    <w:rsid w:val="1E780B2E"/>
    <w:rsid w:val="201D6424"/>
    <w:rsid w:val="22C828E9"/>
    <w:rsid w:val="23162CAC"/>
    <w:rsid w:val="23286082"/>
    <w:rsid w:val="2342271A"/>
    <w:rsid w:val="23C64C9E"/>
    <w:rsid w:val="27C9130C"/>
    <w:rsid w:val="2B844E22"/>
    <w:rsid w:val="2C5C337D"/>
    <w:rsid w:val="2EB96346"/>
    <w:rsid w:val="2EE71803"/>
    <w:rsid w:val="2F3C1703"/>
    <w:rsid w:val="2F8512FC"/>
    <w:rsid w:val="300B0808"/>
    <w:rsid w:val="302C5C1C"/>
    <w:rsid w:val="311547C6"/>
    <w:rsid w:val="312507C7"/>
    <w:rsid w:val="326A6FBA"/>
    <w:rsid w:val="32766A06"/>
    <w:rsid w:val="33AB1CBA"/>
    <w:rsid w:val="3570118E"/>
    <w:rsid w:val="35A074C3"/>
    <w:rsid w:val="360D4655"/>
    <w:rsid w:val="393F299B"/>
    <w:rsid w:val="3B444A87"/>
    <w:rsid w:val="3C1254FF"/>
    <w:rsid w:val="3C6412B4"/>
    <w:rsid w:val="3D3E11C3"/>
    <w:rsid w:val="3D7D7E19"/>
    <w:rsid w:val="3E7C7D6E"/>
    <w:rsid w:val="3F4B2F6B"/>
    <w:rsid w:val="40A65C9F"/>
    <w:rsid w:val="411B388C"/>
    <w:rsid w:val="419D0727"/>
    <w:rsid w:val="42ED4613"/>
    <w:rsid w:val="43600C36"/>
    <w:rsid w:val="43895742"/>
    <w:rsid w:val="43E10797"/>
    <w:rsid w:val="45327E35"/>
    <w:rsid w:val="45E00972"/>
    <w:rsid w:val="45F83DBE"/>
    <w:rsid w:val="464078D3"/>
    <w:rsid w:val="46807744"/>
    <w:rsid w:val="4768075B"/>
    <w:rsid w:val="47F44954"/>
    <w:rsid w:val="486414CE"/>
    <w:rsid w:val="495C20AE"/>
    <w:rsid w:val="4A354E26"/>
    <w:rsid w:val="4B5F1B15"/>
    <w:rsid w:val="4D780E07"/>
    <w:rsid w:val="4DA42A53"/>
    <w:rsid w:val="4DE82D2A"/>
    <w:rsid w:val="4E1254DC"/>
    <w:rsid w:val="50EA22EC"/>
    <w:rsid w:val="52625186"/>
    <w:rsid w:val="53874D93"/>
    <w:rsid w:val="54B576DE"/>
    <w:rsid w:val="54DF33AD"/>
    <w:rsid w:val="55040313"/>
    <w:rsid w:val="55055A2E"/>
    <w:rsid w:val="554C1DF1"/>
    <w:rsid w:val="55C652EB"/>
    <w:rsid w:val="57A768BA"/>
    <w:rsid w:val="58176A53"/>
    <w:rsid w:val="58BF06FB"/>
    <w:rsid w:val="5A900E09"/>
    <w:rsid w:val="5B182224"/>
    <w:rsid w:val="5B3B2688"/>
    <w:rsid w:val="5B4377F2"/>
    <w:rsid w:val="5BF82DDD"/>
    <w:rsid w:val="5E280F21"/>
    <w:rsid w:val="6006795B"/>
    <w:rsid w:val="60C47479"/>
    <w:rsid w:val="648F65F4"/>
    <w:rsid w:val="64E831B8"/>
    <w:rsid w:val="6595491E"/>
    <w:rsid w:val="676D57BC"/>
    <w:rsid w:val="69A70F4F"/>
    <w:rsid w:val="6AC81130"/>
    <w:rsid w:val="6B80514F"/>
    <w:rsid w:val="6BDA39C7"/>
    <w:rsid w:val="6EE153A1"/>
    <w:rsid w:val="6EF2193F"/>
    <w:rsid w:val="735E3EBC"/>
    <w:rsid w:val="73970283"/>
    <w:rsid w:val="7613626B"/>
    <w:rsid w:val="77BD5389"/>
    <w:rsid w:val="77D349AE"/>
    <w:rsid w:val="790930C6"/>
    <w:rsid w:val="794F7D45"/>
    <w:rsid w:val="79B6386A"/>
    <w:rsid w:val="7B7F3EBD"/>
    <w:rsid w:val="7BA448DD"/>
    <w:rsid w:val="7BB2026D"/>
    <w:rsid w:val="7D7E1172"/>
    <w:rsid w:val="7EFC1C0D"/>
    <w:rsid w:val="7F6C75F1"/>
    <w:rsid w:val="9CEF9F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7"/>
    <w:qFormat/>
    <w:uiPriority w:val="0"/>
    <w:pPr>
      <w:keepNext/>
      <w:keepLines/>
      <w:spacing w:before="340" w:after="330" w:line="576" w:lineRule="auto"/>
      <w:outlineLvl w:val="0"/>
    </w:pPr>
    <w:rPr>
      <w:b/>
      <w:kern w:val="44"/>
      <w:sz w:val="44"/>
    </w:rPr>
  </w:style>
  <w:style w:type="paragraph" w:styleId="5">
    <w:name w:val="heading 2"/>
    <w:basedOn w:val="1"/>
    <w:next w:val="1"/>
    <w:link w:val="18"/>
    <w:unhideWhenUsed/>
    <w:qFormat/>
    <w:uiPriority w:val="9"/>
    <w:pPr>
      <w:keepNext/>
      <w:keepLines/>
      <w:spacing w:before="260" w:after="260" w:line="413" w:lineRule="auto"/>
      <w:outlineLvl w:val="1"/>
    </w:pPr>
    <w:rPr>
      <w:rFonts w:ascii="Arial" w:hAnsi="Arial" w:eastAsia="黑体"/>
      <w:b/>
      <w:sz w:val="32"/>
    </w:rPr>
  </w:style>
  <w:style w:type="paragraph" w:styleId="6">
    <w:name w:val="heading 3"/>
    <w:basedOn w:val="1"/>
    <w:next w:val="1"/>
    <w:link w:val="19"/>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next w:val="3"/>
    <w:qFormat/>
    <w:uiPriority w:val="0"/>
    <w:pPr>
      <w:widowControl w:val="0"/>
      <w:spacing w:line="560" w:lineRule="exact"/>
      <w:ind w:firstLine="200" w:firstLineChars="200"/>
      <w:jc w:val="both"/>
    </w:pPr>
    <w:rPr>
      <w:rFonts w:ascii="Times New Roman" w:hAnsi="Times New Roman" w:eastAsia="方正仿宋简体" w:cs="Times New Roman"/>
      <w:kern w:val="2"/>
      <w:sz w:val="32"/>
      <w:szCs w:val="32"/>
      <w:lang w:val="en-US" w:eastAsia="zh-CN" w:bidi="ar-SA"/>
    </w:rPr>
  </w:style>
  <w:style w:type="paragraph" w:styleId="3">
    <w:name w:val="footer"/>
    <w:basedOn w:val="1"/>
    <w:next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annotation text"/>
    <w:basedOn w:val="1"/>
    <w:link w:val="26"/>
    <w:semiHidden/>
    <w:unhideWhenUsed/>
    <w:qFormat/>
    <w:uiPriority w:val="99"/>
    <w:pPr>
      <w:jc w:val="left"/>
    </w:pPr>
  </w:style>
  <w:style w:type="paragraph" w:styleId="8">
    <w:name w:val="Balloon Text"/>
    <w:basedOn w:val="1"/>
    <w:link w:val="28"/>
    <w:semiHidden/>
    <w:unhideWhenUsed/>
    <w:qFormat/>
    <w:uiPriority w:val="99"/>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7"/>
    <w:next w:val="7"/>
    <w:link w:val="27"/>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3"/>
    <w:qFormat/>
    <w:uiPriority w:val="99"/>
    <w:rPr>
      <w:sz w:val="18"/>
      <w:szCs w:val="18"/>
    </w:rPr>
  </w:style>
  <w:style w:type="character" w:customStyle="1" w:styleId="17">
    <w:name w:val="标题 1 字符"/>
    <w:basedOn w:val="13"/>
    <w:link w:val="4"/>
    <w:qFormat/>
    <w:uiPriority w:val="0"/>
    <w:rPr>
      <w:rFonts w:ascii="Calibri" w:hAnsi="Calibri" w:eastAsia="宋体" w:cs="Times New Roman"/>
      <w:b/>
      <w:kern w:val="44"/>
      <w:sz w:val="44"/>
      <w:szCs w:val="24"/>
    </w:rPr>
  </w:style>
  <w:style w:type="character" w:customStyle="1" w:styleId="18">
    <w:name w:val="标题 2 字符"/>
    <w:basedOn w:val="13"/>
    <w:link w:val="5"/>
    <w:qFormat/>
    <w:uiPriority w:val="9"/>
    <w:rPr>
      <w:rFonts w:ascii="Arial" w:hAnsi="Arial" w:eastAsia="黑体" w:cs="Times New Roman"/>
      <w:b/>
      <w:sz w:val="32"/>
      <w:szCs w:val="24"/>
    </w:rPr>
  </w:style>
  <w:style w:type="character" w:customStyle="1" w:styleId="19">
    <w:name w:val="标题 3 字符"/>
    <w:basedOn w:val="13"/>
    <w:link w:val="6"/>
    <w:qFormat/>
    <w:uiPriority w:val="0"/>
    <w:rPr>
      <w:rFonts w:ascii="Calibri" w:hAnsi="Calibri" w:eastAsia="宋体" w:cs="Times New Roman"/>
      <w:b/>
      <w:sz w:val="32"/>
      <w:szCs w:val="24"/>
    </w:rPr>
  </w:style>
  <w:style w:type="table" w:customStyle="1" w:styleId="20">
    <w:name w:val="网格型浅色1"/>
    <w:basedOn w:val="1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styleId="21">
    <w:name w:val="List Paragraph"/>
    <w:basedOn w:val="1"/>
    <w:qFormat/>
    <w:uiPriority w:val="34"/>
    <w:pPr>
      <w:ind w:firstLine="420" w:firstLineChars="200"/>
    </w:pPr>
  </w:style>
  <w:style w:type="character" w:customStyle="1" w:styleId="22">
    <w:name w:val="font21"/>
    <w:basedOn w:val="13"/>
    <w:qFormat/>
    <w:uiPriority w:val="0"/>
    <w:rPr>
      <w:rFonts w:hint="eastAsia" w:ascii="仿宋" w:hAnsi="仿宋" w:eastAsia="仿宋" w:cs="仿宋"/>
      <w:b/>
      <w:bCs/>
      <w:color w:val="FFFFFF"/>
      <w:sz w:val="21"/>
      <w:szCs w:val="21"/>
      <w:u w:val="none"/>
    </w:rPr>
  </w:style>
  <w:style w:type="character" w:customStyle="1" w:styleId="23">
    <w:name w:val="font51"/>
    <w:basedOn w:val="13"/>
    <w:qFormat/>
    <w:uiPriority w:val="0"/>
    <w:rPr>
      <w:rFonts w:hint="default" w:ascii="Times New Roman" w:hAnsi="Times New Roman" w:cs="Times New Roman"/>
      <w:b/>
      <w:bCs/>
      <w:color w:val="FFFFFF"/>
      <w:sz w:val="21"/>
      <w:szCs w:val="21"/>
      <w:u w:val="none"/>
    </w:rPr>
  </w:style>
  <w:style w:type="character" w:customStyle="1" w:styleId="24">
    <w:name w:val="font31"/>
    <w:basedOn w:val="13"/>
    <w:qFormat/>
    <w:uiPriority w:val="0"/>
    <w:rPr>
      <w:rFonts w:hint="eastAsia" w:ascii="仿宋" w:hAnsi="仿宋" w:eastAsia="仿宋" w:cs="仿宋"/>
      <w:b/>
      <w:bCs/>
      <w:color w:val="000000"/>
      <w:sz w:val="21"/>
      <w:szCs w:val="21"/>
      <w:u w:val="none"/>
    </w:rPr>
  </w:style>
  <w:style w:type="character" w:customStyle="1" w:styleId="25">
    <w:name w:val="font41"/>
    <w:basedOn w:val="13"/>
    <w:qFormat/>
    <w:uiPriority w:val="0"/>
    <w:rPr>
      <w:rFonts w:hint="eastAsia" w:ascii="仿宋" w:hAnsi="仿宋" w:eastAsia="仿宋" w:cs="仿宋"/>
      <w:color w:val="000000"/>
      <w:sz w:val="21"/>
      <w:szCs w:val="21"/>
      <w:u w:val="none"/>
    </w:rPr>
  </w:style>
  <w:style w:type="character" w:customStyle="1" w:styleId="26">
    <w:name w:val="批注文字 字符"/>
    <w:basedOn w:val="13"/>
    <w:link w:val="7"/>
    <w:semiHidden/>
    <w:qFormat/>
    <w:uiPriority w:val="99"/>
    <w:rPr>
      <w:rFonts w:ascii="Calibri" w:hAnsi="Calibri"/>
      <w:kern w:val="2"/>
      <w:sz w:val="21"/>
      <w:szCs w:val="24"/>
    </w:rPr>
  </w:style>
  <w:style w:type="character" w:customStyle="1" w:styleId="27">
    <w:name w:val="批注主题 字符"/>
    <w:basedOn w:val="26"/>
    <w:link w:val="10"/>
    <w:semiHidden/>
    <w:qFormat/>
    <w:uiPriority w:val="99"/>
    <w:rPr>
      <w:rFonts w:ascii="Calibri" w:hAnsi="Calibri"/>
      <w:b/>
      <w:bCs/>
      <w:kern w:val="2"/>
      <w:sz w:val="21"/>
      <w:szCs w:val="24"/>
    </w:rPr>
  </w:style>
  <w:style w:type="character" w:customStyle="1" w:styleId="28">
    <w:name w:val="批注框文本 字符"/>
    <w:basedOn w:val="13"/>
    <w:link w:val="8"/>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5770</Words>
  <Characters>9048</Characters>
  <Lines>74</Lines>
  <Paragraphs>21</Paragraphs>
  <TotalTime>3</TotalTime>
  <ScaleCrop>false</ScaleCrop>
  <LinksUpToDate>false</LinksUpToDate>
  <CharactersWithSpaces>9207</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2022-07-04T17:31:00Z</dcterms:created>
  <dc:creator>ll</dc:creator>
  <cp:lastModifiedBy>RSJ</cp:lastModifiedBy>
  <cp:lastPrinted>2024-07-08T16:16:00Z</cp:lastPrinted>
  <dcterms:modified xsi:type="dcterms:W3CDTF">2024-07-09T15:10:19Z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8035B5038D614664B4A088700863D2F2_12</vt:lpwstr>
  </property>
</Properties>
</file>